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2FDB" w14:textId="74722892" w:rsidR="004A36C8" w:rsidRPr="008445FA" w:rsidRDefault="00C44CA1" w:rsidP="586471C7">
      <w:pPr>
        <w:spacing w:after="0" w:line="259" w:lineRule="auto"/>
        <w:ind w:left="103" w:right="115" w:firstLine="0"/>
        <w:jc w:val="right"/>
        <w:rPr>
          <w:lang w:val="sv-SE"/>
        </w:rPr>
      </w:pPr>
      <w:r>
        <w:rPr>
          <w:noProof/>
        </w:rPr>
        <w:drawing>
          <wp:anchor distT="0" distB="0" distL="114300" distR="114300" simplePos="0" relativeHeight="251658240" behindDoc="0" locked="0" layoutInCell="1" allowOverlap="0" wp14:anchorId="1495DEF9" wp14:editId="5497B2EC">
            <wp:simplePos x="0" y="0"/>
            <wp:positionH relativeFrom="column">
              <wp:posOffset>65088</wp:posOffset>
            </wp:positionH>
            <wp:positionV relativeFrom="paragraph">
              <wp:posOffset>-27697</wp:posOffset>
            </wp:positionV>
            <wp:extent cx="1733550" cy="914400"/>
            <wp:effectExtent l="0" t="0" r="0"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9"/>
                    <a:stretch>
                      <a:fillRect/>
                    </a:stretch>
                  </pic:blipFill>
                  <pic:spPr>
                    <a:xfrm>
                      <a:off x="0" y="0"/>
                      <a:ext cx="1733550" cy="914400"/>
                    </a:xfrm>
                    <a:prstGeom prst="rect">
                      <a:avLst/>
                    </a:prstGeom>
                  </pic:spPr>
                </pic:pic>
              </a:graphicData>
            </a:graphic>
          </wp:anchor>
        </w:drawing>
      </w:r>
      <w:r w:rsidRPr="586471C7">
        <w:rPr>
          <w:b/>
          <w:bCs/>
          <w:sz w:val="23"/>
          <w:szCs w:val="23"/>
          <w:lang w:val="sv-SE"/>
        </w:rPr>
        <w:t xml:space="preserve"> </w:t>
      </w:r>
    </w:p>
    <w:p w14:paraId="02EEF70B" w14:textId="5E3C6B05" w:rsidR="004A36C8" w:rsidRPr="008445FA" w:rsidRDefault="008445FA" w:rsidP="586471C7">
      <w:pPr>
        <w:spacing w:after="1" w:line="234" w:lineRule="auto"/>
        <w:ind w:left="5103" w:right="100" w:hanging="391"/>
        <w:rPr>
          <w:lang w:val="sv-SE"/>
        </w:rPr>
      </w:pPr>
      <w:r w:rsidRPr="586471C7">
        <w:rPr>
          <w:sz w:val="23"/>
          <w:szCs w:val="23"/>
          <w:lang w:val="sv-SE"/>
        </w:rPr>
        <w:t xml:space="preserve">       </w:t>
      </w:r>
      <w:r w:rsidR="00C44CA1" w:rsidRPr="586471C7">
        <w:rPr>
          <w:sz w:val="23"/>
          <w:szCs w:val="23"/>
          <w:lang w:val="sv-SE"/>
        </w:rPr>
        <w:t xml:space="preserve">„Siseministri 6. septembri 2023. a käskkirjas  nr 1-3/106 „Toetuse andmise tingimused kodanikuühiskonna mõju suurendamiseks ja arengu toetamiseks" nimetatud toetatavate tegevuste 2024. aasta tegevuskava ja eelarve kinnitamine“ </w:t>
      </w:r>
    </w:p>
    <w:p w14:paraId="2488173F" w14:textId="77777777" w:rsidR="004A36C8" w:rsidRPr="008445FA" w:rsidRDefault="00C44CA1" w:rsidP="586471C7">
      <w:pPr>
        <w:spacing w:after="0" w:line="259" w:lineRule="auto"/>
        <w:ind w:left="113" w:right="110"/>
        <w:jc w:val="right"/>
        <w:rPr>
          <w:lang w:val="da-DK"/>
        </w:rPr>
      </w:pPr>
      <w:r w:rsidRPr="586471C7">
        <w:rPr>
          <w:sz w:val="23"/>
          <w:szCs w:val="23"/>
          <w:lang w:val="da-DK"/>
        </w:rPr>
        <w:t xml:space="preserve">LISA 3 </w:t>
      </w:r>
    </w:p>
    <w:p w14:paraId="13F092D9" w14:textId="77777777" w:rsidR="004A36C8" w:rsidRPr="008445FA" w:rsidRDefault="00C44CA1" w:rsidP="586471C7">
      <w:pPr>
        <w:spacing w:line="259" w:lineRule="auto"/>
        <w:ind w:left="577" w:firstLine="0"/>
        <w:jc w:val="center"/>
        <w:rPr>
          <w:lang w:val="da-DK"/>
        </w:rPr>
      </w:pPr>
      <w:r w:rsidRPr="586471C7">
        <w:rPr>
          <w:b/>
          <w:bCs/>
          <w:sz w:val="23"/>
          <w:szCs w:val="23"/>
          <w:lang w:val="da-DK"/>
        </w:rPr>
        <w:t xml:space="preserve"> </w:t>
      </w:r>
    </w:p>
    <w:p w14:paraId="0F3E59D7" w14:textId="644693A7" w:rsidR="004A36C8" w:rsidRPr="008445FA" w:rsidRDefault="00C44CA1" w:rsidP="586471C7">
      <w:pPr>
        <w:spacing w:after="0" w:line="240" w:lineRule="auto"/>
        <w:ind w:left="105" w:right="3941" w:firstLine="0"/>
        <w:jc w:val="left"/>
        <w:rPr>
          <w:lang w:val="da-DK"/>
        </w:rPr>
      </w:pPr>
      <w:r w:rsidRPr="586471C7">
        <w:rPr>
          <w:b/>
          <w:bCs/>
          <w:sz w:val="29"/>
          <w:szCs w:val="29"/>
          <w:lang w:val="da-DK"/>
        </w:rPr>
        <w:t>Seletuskiri toetatavate tegevuste eelarvele perioodil 01.01.-31.12.202</w:t>
      </w:r>
      <w:r w:rsidR="008445FA" w:rsidRPr="586471C7">
        <w:rPr>
          <w:b/>
          <w:bCs/>
          <w:sz w:val="29"/>
          <w:szCs w:val="29"/>
          <w:lang w:val="da-DK"/>
        </w:rPr>
        <w:t>6</w:t>
      </w:r>
      <w:r w:rsidRPr="586471C7">
        <w:rPr>
          <w:b/>
          <w:bCs/>
          <w:sz w:val="29"/>
          <w:szCs w:val="29"/>
          <w:lang w:val="da-DK"/>
        </w:rPr>
        <w:t xml:space="preserve"> </w:t>
      </w:r>
    </w:p>
    <w:p w14:paraId="660939C3" w14:textId="77777777" w:rsidR="004A36C8" w:rsidRPr="008445FA" w:rsidRDefault="00C44CA1" w:rsidP="586471C7">
      <w:pPr>
        <w:spacing w:after="0" w:line="259" w:lineRule="auto"/>
        <w:ind w:left="120" w:firstLine="0"/>
        <w:jc w:val="left"/>
        <w:rPr>
          <w:lang w:val="da-DK"/>
        </w:rPr>
      </w:pPr>
      <w:r w:rsidRPr="586471C7">
        <w:rPr>
          <w:lang w:val="da-DK"/>
        </w:rPr>
        <w:t xml:space="preserve"> </w:t>
      </w:r>
    </w:p>
    <w:p w14:paraId="0AF9D193" w14:textId="77777777" w:rsidR="004A36C8" w:rsidRPr="008445FA" w:rsidRDefault="00C44CA1" w:rsidP="586471C7">
      <w:pPr>
        <w:spacing w:after="0" w:line="259" w:lineRule="auto"/>
        <w:ind w:left="120" w:firstLine="0"/>
        <w:jc w:val="left"/>
        <w:rPr>
          <w:lang w:val="da-DK"/>
        </w:rPr>
      </w:pPr>
      <w:r w:rsidRPr="586471C7">
        <w:rPr>
          <w:lang w:val="da-DK"/>
        </w:rPr>
        <w:t xml:space="preserve"> </w:t>
      </w:r>
    </w:p>
    <w:p w14:paraId="2CE99ED0" w14:textId="1D0CE04F" w:rsidR="004A36C8" w:rsidRPr="008445FA" w:rsidRDefault="00C44CA1" w:rsidP="586471C7">
      <w:pPr>
        <w:spacing w:after="122" w:line="259" w:lineRule="auto"/>
        <w:ind w:left="345" w:hanging="360"/>
        <w:jc w:val="left"/>
        <w:rPr>
          <w:b/>
          <w:bCs/>
          <w:lang w:val="da-DK"/>
        </w:rPr>
      </w:pPr>
      <w:r w:rsidRPr="586471C7">
        <w:rPr>
          <w:b/>
          <w:bCs/>
          <w:lang w:val="da-DK"/>
        </w:rPr>
        <w:t xml:space="preserve">1.1 Toetatav tegevus: 2.1. Süsteemse kogukonnapõhise laste ja noorte kaasamismudeli arendamine  </w:t>
      </w:r>
      <w:r w:rsidR="7CF5F8D3" w:rsidRPr="586471C7">
        <w:rPr>
          <w:lang w:val="da-DK"/>
        </w:rPr>
        <w:t>(eelarve tabeli rida nr 1.1)</w:t>
      </w:r>
    </w:p>
    <w:p w14:paraId="44DD5519" w14:textId="373246C0" w:rsidR="7CF5F8D3" w:rsidRDefault="7CF5F8D3" w:rsidP="586471C7">
      <w:pPr>
        <w:spacing w:line="240" w:lineRule="auto"/>
        <w:ind w:left="-5" w:right="8"/>
        <w:jc w:val="left"/>
        <w:rPr>
          <w:lang w:val="da-DK"/>
        </w:rPr>
      </w:pPr>
      <w:r w:rsidRPr="5FE57C4F">
        <w:rPr>
          <w:lang w:val="da-DK"/>
        </w:rPr>
        <w:t>Süsteemse kogukonnapõhise laste ja noorte kaasamismudeli arendamine kulu on planeeritud</w:t>
      </w:r>
      <w:r w:rsidRPr="5FE57C4F">
        <w:rPr>
          <w:b/>
          <w:bCs/>
          <w:lang w:val="da-DK"/>
        </w:rPr>
        <w:t xml:space="preserve"> </w:t>
      </w:r>
      <w:r w:rsidR="4CF4F292" w:rsidRPr="5FE57C4F">
        <w:rPr>
          <w:b/>
          <w:bCs/>
          <w:lang w:val="da-DK"/>
        </w:rPr>
        <w:t>82</w:t>
      </w:r>
      <w:r w:rsidRPr="5FE57C4F">
        <w:rPr>
          <w:b/>
          <w:bCs/>
          <w:lang w:val="da-DK"/>
        </w:rPr>
        <w:t xml:space="preserve"> 000 eurot</w:t>
      </w:r>
      <w:r w:rsidRPr="5FE57C4F">
        <w:rPr>
          <w:lang w:val="da-DK"/>
        </w:rPr>
        <w:t>, m</w:t>
      </w:r>
      <w:r w:rsidR="08A19C81" w:rsidRPr="5FE57C4F">
        <w:rPr>
          <w:lang w:val="da-DK"/>
        </w:rPr>
        <w:t>ille</w:t>
      </w:r>
      <w:r w:rsidRPr="5FE57C4F">
        <w:rPr>
          <w:lang w:val="da-DK"/>
        </w:rPr>
        <w:t xml:space="preserve"> jagunemine on toodud järgnevatel eelarveridadel.</w:t>
      </w:r>
    </w:p>
    <w:p w14:paraId="0B11A05C" w14:textId="418AB84F" w:rsidR="7C7F9B5C" w:rsidRDefault="7C7F9B5C" w:rsidP="586471C7">
      <w:pPr>
        <w:spacing w:after="122" w:line="259" w:lineRule="auto"/>
        <w:ind w:left="345" w:hanging="360"/>
        <w:jc w:val="left"/>
        <w:rPr>
          <w:lang w:val="da-DK"/>
        </w:rPr>
      </w:pPr>
    </w:p>
    <w:p w14:paraId="197E6410" w14:textId="77777777" w:rsidR="004A36C8" w:rsidRPr="008445FA" w:rsidRDefault="00C44CA1" w:rsidP="586471C7">
      <w:pPr>
        <w:spacing w:after="0" w:line="259" w:lineRule="auto"/>
        <w:ind w:left="-5"/>
        <w:jc w:val="left"/>
        <w:rPr>
          <w:lang w:val="da-DK"/>
        </w:rPr>
      </w:pPr>
      <w:r w:rsidRPr="6372506A">
        <w:rPr>
          <w:b/>
          <w:bCs/>
          <w:lang w:val="da-DK"/>
        </w:rPr>
        <w:t>1.1.1. Arenguprogrammi välja töötamise kulu</w:t>
      </w:r>
      <w:r w:rsidRPr="6372506A">
        <w:rPr>
          <w:lang w:val="da-DK"/>
        </w:rPr>
        <w:t xml:space="preserve"> (eelarve tabeli rida nr 1.1.1) </w:t>
      </w:r>
    </w:p>
    <w:p w14:paraId="20D16CC4" w14:textId="6E96272E" w:rsidR="004A36C8" w:rsidRPr="008445FA" w:rsidRDefault="00C44CA1" w:rsidP="586471C7">
      <w:pPr>
        <w:spacing w:after="0" w:line="259" w:lineRule="auto"/>
        <w:ind w:left="-15" w:firstLine="0"/>
        <w:jc w:val="left"/>
        <w:rPr>
          <w:lang w:val="da-DK"/>
        </w:rPr>
      </w:pPr>
      <w:r w:rsidRPr="586471C7">
        <w:rPr>
          <w:lang w:val="da-DK"/>
        </w:rPr>
        <w:t xml:space="preserve"> </w:t>
      </w:r>
    </w:p>
    <w:p w14:paraId="1D466276" w14:textId="688C39E3" w:rsidR="004A36C8" w:rsidRPr="008445FA" w:rsidRDefault="00C44CA1" w:rsidP="586471C7">
      <w:pPr>
        <w:spacing w:line="240" w:lineRule="auto"/>
        <w:ind w:left="-5" w:right="8"/>
        <w:rPr>
          <w:lang w:val="da-DK"/>
        </w:rPr>
      </w:pPr>
      <w:r w:rsidRPr="5FE57C4F">
        <w:rPr>
          <w:lang w:val="da-DK"/>
        </w:rPr>
        <w:t>202</w:t>
      </w:r>
      <w:r w:rsidR="6BC031CB" w:rsidRPr="5FE57C4F">
        <w:rPr>
          <w:lang w:val="da-DK"/>
        </w:rPr>
        <w:t>6</w:t>
      </w:r>
      <w:r w:rsidRPr="5FE57C4F">
        <w:rPr>
          <w:lang w:val="da-DK"/>
        </w:rPr>
        <w:t xml:space="preserve">. aastal on arenguprogrammi välja töötamise (sh ajakohastamise) kulu kokku </w:t>
      </w:r>
      <w:r w:rsidR="77CBA578" w:rsidRPr="5FE57C4F">
        <w:rPr>
          <w:b/>
          <w:bCs/>
          <w:lang w:val="da-DK"/>
        </w:rPr>
        <w:t xml:space="preserve">33 </w:t>
      </w:r>
      <w:r w:rsidR="01039E0F" w:rsidRPr="5FE57C4F">
        <w:rPr>
          <w:b/>
          <w:bCs/>
          <w:lang w:val="da-DK"/>
        </w:rPr>
        <w:t>000</w:t>
      </w:r>
      <w:r w:rsidRPr="5FE57C4F">
        <w:rPr>
          <w:b/>
          <w:bCs/>
          <w:lang w:val="da-DK"/>
        </w:rPr>
        <w:t xml:space="preserve"> eurot</w:t>
      </w:r>
      <w:r w:rsidRPr="5FE57C4F">
        <w:rPr>
          <w:lang w:val="da-DK"/>
        </w:rPr>
        <w:t xml:space="preserve">, mis jaguneb järgmiselt: </w:t>
      </w:r>
    </w:p>
    <w:p w14:paraId="59B52FE2" w14:textId="77777777" w:rsidR="008445FA" w:rsidRDefault="008445FA" w:rsidP="586471C7">
      <w:pPr>
        <w:spacing w:line="240" w:lineRule="auto"/>
        <w:ind w:left="-5" w:right="8"/>
        <w:rPr>
          <w:lang w:val="da-DK"/>
        </w:rPr>
      </w:pPr>
    </w:p>
    <w:p w14:paraId="68E1434A" w14:textId="6B6519B6" w:rsidR="00623668" w:rsidRDefault="00623668" w:rsidP="586471C7">
      <w:pPr>
        <w:spacing w:line="240" w:lineRule="auto"/>
        <w:ind w:left="-5" w:right="8"/>
        <w:rPr>
          <w:lang w:val="da-DK"/>
        </w:rPr>
      </w:pPr>
      <w:r w:rsidRPr="7B13E033">
        <w:rPr>
          <w:lang w:val="da-DK"/>
        </w:rPr>
        <w:t xml:space="preserve">Maakondlike kodanikuühiskonna konsultantidele ning maakondlike vabaühenduste nõustamisteenusega seotud isikutele, kes osalevad 2026. aastal arenguprogrammis, samuti projekti mõlema – AP ja MK – töögrupi liikmetele korraldatakse õppereis Soome. Õppereisi kogukuluks on planeeritud </w:t>
      </w:r>
      <w:r w:rsidR="65AFF839" w:rsidRPr="7B13E033">
        <w:rPr>
          <w:b/>
          <w:bCs/>
          <w:lang w:val="da-DK"/>
        </w:rPr>
        <w:t>30</w:t>
      </w:r>
      <w:r w:rsidRPr="7B13E033">
        <w:rPr>
          <w:b/>
          <w:bCs/>
          <w:lang w:val="da-DK"/>
        </w:rPr>
        <w:t xml:space="preserve"> 000 eurot</w:t>
      </w:r>
      <w:r w:rsidRPr="7B13E033">
        <w:rPr>
          <w:lang w:val="da-DK"/>
        </w:rPr>
        <w:t xml:space="preserve">. Kulud hõlmavad transpordi-, majutus-, toitlustus- ja seminariruumide rendikulusid, koolituskulusid ning muid </w:t>
      </w:r>
      <w:r w:rsidR="7E6C15C1" w:rsidRPr="7B13E033">
        <w:rPr>
          <w:lang w:val="da-DK"/>
        </w:rPr>
        <w:t>(reisikindlustus, päevarahad, külastuspiletid jm</w:t>
      </w:r>
      <w:r w:rsidR="0BA56E1C" w:rsidRPr="7B13E033">
        <w:rPr>
          <w:lang w:val="da-DK"/>
        </w:rPr>
        <w:t xml:space="preserve">s) </w:t>
      </w:r>
      <w:r w:rsidRPr="7B13E033">
        <w:rPr>
          <w:lang w:val="da-DK"/>
        </w:rPr>
        <w:t xml:space="preserve">õppereisi läbiviimiseks vajalikke väljaminekuid. Õppereisil osaleb ligikaudu </w:t>
      </w:r>
      <w:r w:rsidR="699FF4CB" w:rsidRPr="7B13E033">
        <w:rPr>
          <w:lang w:val="da-DK"/>
        </w:rPr>
        <w:t>30</w:t>
      </w:r>
      <w:r w:rsidRPr="7B13E033">
        <w:rPr>
          <w:lang w:val="da-DK"/>
        </w:rPr>
        <w:t xml:space="preserve"> inimest, ning korraldamisel järgitakse riigihangete seadust.</w:t>
      </w:r>
      <w:r w:rsidR="23725FEB" w:rsidRPr="7B13E033">
        <w:rPr>
          <w:lang w:val="da-DK"/>
        </w:rPr>
        <w:t xml:space="preserve"> </w:t>
      </w:r>
      <w:r w:rsidRPr="7B13E033">
        <w:rPr>
          <w:lang w:val="da-DK"/>
        </w:rPr>
        <w:t>Lisaks on õppereisiga seotud kuludena planeeritud projektimeeskonda mitte kuuluvate, töögruppide</w:t>
      </w:r>
      <w:r w:rsidR="7AF10547" w:rsidRPr="7B13E033">
        <w:rPr>
          <w:lang w:val="da-DK"/>
        </w:rPr>
        <w:t xml:space="preserve"> töös osalevate,</w:t>
      </w:r>
      <w:r w:rsidRPr="7B13E033">
        <w:rPr>
          <w:lang w:val="da-DK"/>
        </w:rPr>
        <w:t xml:space="preserve"> KÜSK</w:t>
      </w:r>
      <w:r w:rsidR="0AD0B008" w:rsidRPr="7B13E033">
        <w:rPr>
          <w:lang w:val="da-DK"/>
        </w:rPr>
        <w:t>i</w:t>
      </w:r>
      <w:r w:rsidRPr="7B13E033">
        <w:rPr>
          <w:lang w:val="da-DK"/>
        </w:rPr>
        <w:t xml:space="preserve"> esindajate päevarahad</w:t>
      </w:r>
      <w:r w:rsidR="50056B14" w:rsidRPr="7B13E033">
        <w:rPr>
          <w:lang w:val="da-DK"/>
        </w:rPr>
        <w:t>.</w:t>
      </w:r>
      <w:r w:rsidRPr="00750422">
        <w:rPr>
          <w:lang w:val="da-DK"/>
        </w:rPr>
        <w:br/>
      </w:r>
    </w:p>
    <w:p w14:paraId="08A97908" w14:textId="22A277FE" w:rsidR="00671ABB" w:rsidRPr="00750422" w:rsidRDefault="00671ABB" w:rsidP="586471C7">
      <w:pPr>
        <w:spacing w:line="240" w:lineRule="auto"/>
        <w:ind w:left="-5" w:right="8"/>
        <w:rPr>
          <w:lang w:val="da-DK"/>
        </w:rPr>
      </w:pPr>
      <w:r w:rsidRPr="6372506A">
        <w:rPr>
          <w:lang w:val="da-DK"/>
        </w:rPr>
        <w:t xml:space="preserve">2026. aastal korraldatakse kaks Eesti-sisest õppereisi MAK konsultantidele. Õppereisid toimuvad 2026. aasta kevadel ja sügisel ning mõlemad reisid kestavad kaks päeva. Kulud hõlmavad transpordi-, majutus-, toitlustus- ja seminariruumide rendikulusid, koolituskulusid ning muid õppereiside läbiviimiseks vajalikke väljaminekuid. </w:t>
      </w:r>
      <w:r w:rsidRPr="00750422">
        <w:rPr>
          <w:lang w:val="da-DK"/>
        </w:rPr>
        <w:t xml:space="preserve">Nimetatud siseriiklike õppereiside kogukuluks on planeeritud </w:t>
      </w:r>
      <w:r w:rsidRPr="00750422">
        <w:rPr>
          <w:b/>
          <w:bCs/>
          <w:lang w:val="da-DK"/>
        </w:rPr>
        <w:t>3 000 eurot</w:t>
      </w:r>
      <w:r w:rsidRPr="00750422">
        <w:rPr>
          <w:lang w:val="da-DK"/>
        </w:rPr>
        <w:t>.</w:t>
      </w:r>
      <w:r w:rsidRPr="6372506A">
        <w:rPr>
          <w:lang w:val="da-DK"/>
        </w:rPr>
        <w:t xml:space="preserve"> </w:t>
      </w:r>
      <w:r w:rsidRPr="00750422">
        <w:rPr>
          <w:lang w:val="da-DK"/>
        </w:rPr>
        <w:br/>
      </w:r>
    </w:p>
    <w:p w14:paraId="1026A775" w14:textId="473E6200" w:rsidR="004A36C8" w:rsidRPr="00E656C6" w:rsidRDefault="00C44CA1" w:rsidP="586471C7">
      <w:pPr>
        <w:ind w:left="0" w:right="8" w:firstLine="0"/>
        <w:rPr>
          <w:lang w:val="da-DK"/>
        </w:rPr>
      </w:pPr>
      <w:r w:rsidRPr="586471C7">
        <w:rPr>
          <w:lang w:val="da-DK"/>
        </w:rPr>
        <w:t xml:space="preserve"> </w:t>
      </w:r>
    </w:p>
    <w:p w14:paraId="35F2EA5A" w14:textId="77777777" w:rsidR="004A36C8" w:rsidRPr="008445FA" w:rsidRDefault="00C44CA1" w:rsidP="586471C7">
      <w:pPr>
        <w:spacing w:after="0" w:line="259" w:lineRule="auto"/>
        <w:ind w:left="-5"/>
        <w:jc w:val="left"/>
        <w:rPr>
          <w:lang w:val="da-DK"/>
        </w:rPr>
      </w:pPr>
      <w:r w:rsidRPr="586471C7">
        <w:rPr>
          <w:b/>
          <w:bCs/>
          <w:lang w:val="da-DK"/>
        </w:rPr>
        <w:t>1.1.2 Arenguprogrammi läbi viimise  kulu</w:t>
      </w:r>
      <w:r w:rsidRPr="586471C7">
        <w:rPr>
          <w:lang w:val="da-DK"/>
        </w:rPr>
        <w:t xml:space="preserve"> (eelarve tabeli rida nr 1.1.2).  </w:t>
      </w:r>
    </w:p>
    <w:p w14:paraId="43155709" w14:textId="77777777" w:rsidR="004A36C8" w:rsidRPr="008445FA" w:rsidRDefault="00C44CA1" w:rsidP="586471C7">
      <w:pPr>
        <w:spacing w:after="0" w:line="259" w:lineRule="auto"/>
        <w:ind w:left="0" w:firstLine="0"/>
        <w:jc w:val="left"/>
        <w:rPr>
          <w:lang w:val="da-DK"/>
        </w:rPr>
      </w:pPr>
      <w:r w:rsidRPr="586471C7">
        <w:rPr>
          <w:lang w:val="da-DK"/>
        </w:rPr>
        <w:t xml:space="preserve"> </w:t>
      </w:r>
    </w:p>
    <w:p w14:paraId="24B8D408" w14:textId="46B0844F" w:rsidR="004A36C8" w:rsidRPr="008445FA" w:rsidRDefault="00C44CA1" w:rsidP="586471C7">
      <w:pPr>
        <w:spacing w:line="240" w:lineRule="auto"/>
        <w:ind w:left="-5" w:right="8"/>
        <w:rPr>
          <w:lang w:val="da-DK"/>
        </w:rPr>
      </w:pPr>
      <w:r w:rsidRPr="6372506A">
        <w:rPr>
          <w:lang w:val="da-DK"/>
        </w:rPr>
        <w:t>Arenguprogrammi läbiviimiseks</w:t>
      </w:r>
      <w:r w:rsidR="4D846A18" w:rsidRPr="6372506A">
        <w:rPr>
          <w:lang w:val="da-DK"/>
        </w:rPr>
        <w:t>, ajakohastaud uue versiooni välja töötamiseks</w:t>
      </w:r>
      <w:r w:rsidRPr="6372506A">
        <w:rPr>
          <w:lang w:val="da-DK"/>
        </w:rPr>
        <w:t xml:space="preserve">ja osalemiseks on planeeritud </w:t>
      </w:r>
      <w:r w:rsidR="00E656C6" w:rsidRPr="6372506A">
        <w:rPr>
          <w:b/>
          <w:bCs/>
          <w:lang w:val="da-DK"/>
        </w:rPr>
        <w:t>4</w:t>
      </w:r>
      <w:r w:rsidR="7808C39B" w:rsidRPr="6372506A">
        <w:rPr>
          <w:b/>
          <w:bCs/>
          <w:lang w:val="da-DK"/>
        </w:rPr>
        <w:t>9</w:t>
      </w:r>
      <w:r w:rsidRPr="6372506A">
        <w:rPr>
          <w:b/>
          <w:bCs/>
          <w:lang w:val="da-DK"/>
        </w:rPr>
        <w:t xml:space="preserve"> </w:t>
      </w:r>
      <w:r w:rsidR="00E656C6" w:rsidRPr="6372506A">
        <w:rPr>
          <w:b/>
          <w:bCs/>
          <w:lang w:val="da-DK"/>
        </w:rPr>
        <w:t>0</w:t>
      </w:r>
      <w:r w:rsidRPr="6372506A">
        <w:rPr>
          <w:b/>
          <w:bCs/>
          <w:lang w:val="da-DK"/>
        </w:rPr>
        <w:t>00 eurot,</w:t>
      </w:r>
      <w:r w:rsidRPr="6372506A">
        <w:rPr>
          <w:lang w:val="da-DK"/>
        </w:rPr>
        <w:t xml:space="preserve"> mille jagunemine on toodud järgnevalt. </w:t>
      </w:r>
    </w:p>
    <w:p w14:paraId="646E1FA5" w14:textId="722D52C0" w:rsidR="7C7F9B5C" w:rsidRDefault="7C7F9B5C" w:rsidP="586471C7">
      <w:pPr>
        <w:spacing w:line="240" w:lineRule="auto"/>
        <w:ind w:left="-5" w:right="8"/>
        <w:rPr>
          <w:lang w:val="da-DK"/>
        </w:rPr>
      </w:pPr>
    </w:p>
    <w:p w14:paraId="75B7BA38" w14:textId="53E3173A" w:rsidR="004A36C8" w:rsidRPr="005D46BC" w:rsidRDefault="00C44CA1" w:rsidP="586471C7">
      <w:pPr>
        <w:spacing w:line="240" w:lineRule="auto"/>
        <w:ind w:left="-5" w:right="8"/>
        <w:rPr>
          <w:lang w:val="da-DK"/>
        </w:rPr>
      </w:pPr>
      <w:r w:rsidRPr="5FE57C4F">
        <w:rPr>
          <w:lang w:val="da-DK"/>
        </w:rPr>
        <w:t xml:space="preserve">Arenguprogrammi läbiviimise kuluks on planeeritud </w:t>
      </w:r>
      <w:r w:rsidRPr="5FE57C4F">
        <w:rPr>
          <w:b/>
          <w:bCs/>
          <w:lang w:val="da-DK"/>
        </w:rPr>
        <w:t>4</w:t>
      </w:r>
      <w:r w:rsidR="560A24B6" w:rsidRPr="5FE57C4F">
        <w:rPr>
          <w:b/>
          <w:bCs/>
          <w:lang w:val="da-DK"/>
        </w:rPr>
        <w:t>9</w:t>
      </w:r>
      <w:r w:rsidRPr="5FE57C4F">
        <w:rPr>
          <w:b/>
          <w:bCs/>
          <w:lang w:val="da-DK"/>
        </w:rPr>
        <w:t xml:space="preserve"> </w:t>
      </w:r>
      <w:r w:rsidR="38A85794" w:rsidRPr="5FE57C4F">
        <w:rPr>
          <w:b/>
          <w:bCs/>
          <w:lang w:val="da-DK"/>
        </w:rPr>
        <w:t>0</w:t>
      </w:r>
      <w:r w:rsidRPr="5FE57C4F">
        <w:rPr>
          <w:b/>
          <w:bCs/>
          <w:lang w:val="da-DK"/>
        </w:rPr>
        <w:t>00 eurot</w:t>
      </w:r>
      <w:r w:rsidRPr="5FE57C4F">
        <w:rPr>
          <w:lang w:val="da-DK"/>
        </w:rPr>
        <w:t xml:space="preserve">. Arenguprogrammi läbiviija </w:t>
      </w:r>
      <w:r w:rsidR="00411010" w:rsidRPr="5FE57C4F">
        <w:rPr>
          <w:lang w:val="da-DK"/>
        </w:rPr>
        <w:t xml:space="preserve">selgub </w:t>
      </w:r>
      <w:r w:rsidR="0028547C" w:rsidRPr="5FE57C4F">
        <w:rPr>
          <w:lang w:val="da-DK"/>
        </w:rPr>
        <w:t>jaanuar 2026, mil sõlmitakse kaheaastane leping teenuse</w:t>
      </w:r>
      <w:r w:rsidR="4601DF34" w:rsidRPr="5FE57C4F">
        <w:rPr>
          <w:lang w:val="da-DK"/>
        </w:rPr>
        <w:t xml:space="preserve"> </w:t>
      </w:r>
      <w:r w:rsidR="0028547C" w:rsidRPr="5FE57C4F">
        <w:rPr>
          <w:lang w:val="da-DK"/>
        </w:rPr>
        <w:t>pakkuja</w:t>
      </w:r>
      <w:r w:rsidR="19DB2BD5" w:rsidRPr="5FE57C4F">
        <w:rPr>
          <w:lang w:val="da-DK"/>
        </w:rPr>
        <w:t>ga</w:t>
      </w:r>
      <w:r w:rsidR="0028547C" w:rsidRPr="5FE57C4F">
        <w:rPr>
          <w:lang w:val="da-DK"/>
        </w:rPr>
        <w:t xml:space="preserve">  </w:t>
      </w:r>
      <w:r w:rsidR="00325B13" w:rsidRPr="5FE57C4F">
        <w:rPr>
          <w:lang w:val="da-DK"/>
        </w:rPr>
        <w:t>2026. aastal viiakse veebruar-september läbi arenguprogramm</w:t>
      </w:r>
      <w:r w:rsidR="005D46BC" w:rsidRPr="5FE57C4F">
        <w:rPr>
          <w:lang w:val="da-DK"/>
        </w:rPr>
        <w:t xml:space="preserve"> 20-le osalejale</w:t>
      </w:r>
      <w:r w:rsidR="00D9120C" w:rsidRPr="5FE57C4F">
        <w:rPr>
          <w:lang w:val="da-DK"/>
        </w:rPr>
        <w:t xml:space="preserve">. </w:t>
      </w:r>
      <w:r w:rsidR="0028547C" w:rsidRPr="5FE57C4F">
        <w:rPr>
          <w:lang w:val="da-DK"/>
        </w:rPr>
        <w:t>Võrreldes varasema arenguprogrammiga, on muutunud sihtrühm</w:t>
      </w:r>
      <w:r w:rsidR="00712083" w:rsidRPr="5FE57C4F">
        <w:rPr>
          <w:lang w:val="da-DK"/>
        </w:rPr>
        <w:t xml:space="preserve">, juurde on tulnud individuaalnõustamise osa ja analüüs 2026 ja 2027. arenguprogrammi vahel. Analüüsi eesmärk on parendada 2026. aastal </w:t>
      </w:r>
      <w:r w:rsidR="005123D0" w:rsidRPr="5FE57C4F">
        <w:rPr>
          <w:lang w:val="da-DK"/>
        </w:rPr>
        <w:t>toimuvat arenguprogrammi vastavalt läbiviimisel tekkinud teadmistele</w:t>
      </w:r>
      <w:r w:rsidR="005D46BC" w:rsidRPr="5FE57C4F">
        <w:rPr>
          <w:lang w:val="da-DK"/>
        </w:rPr>
        <w:t xml:space="preserve">. Analüüs viiakse läbi </w:t>
      </w:r>
      <w:r w:rsidR="005D46BC" w:rsidRPr="5FE57C4F">
        <w:rPr>
          <w:lang w:val="da-DK"/>
        </w:rPr>
        <w:lastRenderedPageBreak/>
        <w:t xml:space="preserve">2026. II PA. </w:t>
      </w:r>
      <w:r w:rsidR="00142B47" w:rsidRPr="5FE57C4F">
        <w:rPr>
          <w:lang w:val="da-DK"/>
        </w:rPr>
        <w:t>T</w:t>
      </w:r>
      <w:r w:rsidR="00FB5912" w:rsidRPr="5FE57C4F">
        <w:rPr>
          <w:lang w:val="da-DK"/>
        </w:rPr>
        <w:t>äiendatud versioon viiakse läbi 2027.</w:t>
      </w:r>
      <w:r w:rsidRPr="00750422">
        <w:rPr>
          <w:lang w:val="da-DK"/>
        </w:rPr>
        <w:br/>
      </w:r>
      <w:r w:rsidRPr="5FE57C4F">
        <w:rPr>
          <w:lang w:val="da-DK"/>
        </w:rPr>
        <w:t xml:space="preserve"> </w:t>
      </w:r>
    </w:p>
    <w:p w14:paraId="378F9F39" w14:textId="77777777" w:rsidR="004A36C8" w:rsidRPr="008445FA" w:rsidRDefault="00C44CA1" w:rsidP="586471C7">
      <w:pPr>
        <w:spacing w:after="0" w:line="259" w:lineRule="auto"/>
        <w:ind w:left="-5"/>
        <w:jc w:val="left"/>
        <w:rPr>
          <w:lang w:val="da-DK"/>
        </w:rPr>
      </w:pPr>
      <w:r w:rsidRPr="586471C7">
        <w:rPr>
          <w:b/>
          <w:bCs/>
          <w:lang w:val="da-DK"/>
        </w:rPr>
        <w:t>1.1.3 Arenguprogrammi hindamise kulu</w:t>
      </w:r>
      <w:r w:rsidRPr="586471C7">
        <w:rPr>
          <w:lang w:val="da-DK"/>
        </w:rPr>
        <w:t xml:space="preserve"> (eelarve tabeli rida nr 1.1.3).  </w:t>
      </w:r>
    </w:p>
    <w:p w14:paraId="1BDC2693" w14:textId="77777777" w:rsidR="004A36C8" w:rsidRPr="008445FA" w:rsidRDefault="00C44CA1" w:rsidP="586471C7">
      <w:pPr>
        <w:spacing w:after="0" w:line="259" w:lineRule="auto"/>
        <w:ind w:left="0" w:firstLine="0"/>
        <w:jc w:val="left"/>
        <w:rPr>
          <w:lang w:val="da-DK"/>
        </w:rPr>
      </w:pPr>
      <w:r w:rsidRPr="586471C7">
        <w:rPr>
          <w:lang w:val="da-DK"/>
        </w:rPr>
        <w:t xml:space="preserve"> </w:t>
      </w:r>
    </w:p>
    <w:p w14:paraId="4B7CE1E6" w14:textId="48C051C3" w:rsidR="004A36C8" w:rsidRPr="00750422" w:rsidRDefault="5B1761DC" w:rsidP="5FE57C4F">
      <w:pPr>
        <w:tabs>
          <w:tab w:val="left" w:pos="426"/>
        </w:tabs>
        <w:spacing w:after="0" w:line="240" w:lineRule="auto"/>
        <w:ind w:left="0"/>
        <w:rPr>
          <w:lang w:val="et-EE"/>
        </w:rPr>
      </w:pPr>
      <w:r w:rsidRPr="5FE57C4F">
        <w:rPr>
          <w:lang w:val="et-EE"/>
        </w:rPr>
        <w:t xml:space="preserve"> Projekti tegevussuundade </w:t>
      </w:r>
      <w:r w:rsidRPr="00750422">
        <w:rPr>
          <w:lang w:val="et-EE"/>
        </w:rPr>
        <w:t>eesmärgipärasust, tulemuslikkust ja tõhusust hinnatakse kui ühte tervikut,</w:t>
      </w:r>
      <w:r w:rsidRPr="5FE57C4F">
        <w:rPr>
          <w:lang w:val="et-EE"/>
        </w:rPr>
        <w:t xml:space="preserve"> kus hindaja muuhulgas toob välja nii õnnestumised kui kitsaskohad. Hindajaks on valdkonna ekspert, kes ei ole projekti tegevusega muus mõttes seotud, tagades objektiivsuse. Hindaja vaatab üle kogu tegevuse projektiüleselt ja tegevussuundade kaupa ning kujundab oma arvamuse saadud materjalide põhjal. Hindaja koostab 2026. aasta lõpuks raporti, mis avaldatakse KÜSK kodulehel. Protsessi korratakse 2028. aastal, mil hindaja kujundab enda lõpliku hinnangu projekti tegevuse, eesmärgipärasuse, tõhususe ja tulemuslikkuse osas.</w:t>
      </w:r>
    </w:p>
    <w:p w14:paraId="744EFC32" w14:textId="595D4B2E" w:rsidR="004A36C8" w:rsidRPr="00750422" w:rsidRDefault="53D76EC8" w:rsidP="586471C7">
      <w:pPr>
        <w:ind w:left="-5" w:right="8"/>
        <w:rPr>
          <w:lang w:val="et-EE"/>
        </w:rPr>
      </w:pPr>
      <w:r w:rsidRPr="00750422">
        <w:rPr>
          <w:color w:val="000000" w:themeColor="text1"/>
          <w:lang w:val="et-EE"/>
        </w:rPr>
        <w:t xml:space="preserve"> Kirjeldatud kulu kajastub eelarve tabeli real nr 2.1.3. </w:t>
      </w:r>
      <w:r w:rsidR="00167E8B" w:rsidRPr="00750422">
        <w:rPr>
          <w:lang w:val="et-EE"/>
        </w:rPr>
        <w:t xml:space="preserve"> </w:t>
      </w:r>
      <w:r w:rsidR="00C44CA1" w:rsidRPr="00750422">
        <w:rPr>
          <w:lang w:val="et-EE"/>
        </w:rPr>
        <w:t xml:space="preserve"> </w:t>
      </w:r>
      <w:r w:rsidR="00C44CA1" w:rsidRPr="00750422">
        <w:rPr>
          <w:lang w:val="et-EE"/>
        </w:rPr>
        <w:br/>
      </w:r>
    </w:p>
    <w:p w14:paraId="152DFBD5" w14:textId="0B63D1C7" w:rsidR="004A36C8" w:rsidRPr="00750422" w:rsidRDefault="00C44CA1" w:rsidP="586471C7">
      <w:pPr>
        <w:spacing w:after="120" w:line="259" w:lineRule="auto"/>
        <w:ind w:left="345" w:hanging="360"/>
        <w:jc w:val="left"/>
        <w:rPr>
          <w:lang w:val="et-EE"/>
        </w:rPr>
      </w:pPr>
      <w:r w:rsidRPr="00750422">
        <w:rPr>
          <w:b/>
          <w:bCs/>
          <w:lang w:val="et-EE"/>
        </w:rPr>
        <w:t xml:space="preserve">1.2 Toetatav tegevus: 2.2 Laste ja noortega tegelevate vabaühenduste kaasamis- ja osalemisoskuste tõstmine  </w:t>
      </w:r>
      <w:r w:rsidR="6B0AF2D1" w:rsidRPr="00750422">
        <w:rPr>
          <w:lang w:val="et-EE"/>
        </w:rPr>
        <w:t xml:space="preserve">(eelarve tabeli rida nr 2.1).  </w:t>
      </w:r>
    </w:p>
    <w:p w14:paraId="22B129C2" w14:textId="278D8F45" w:rsidR="008D5BBD" w:rsidRPr="00750422" w:rsidRDefault="60FA983E" w:rsidP="586471C7">
      <w:pPr>
        <w:spacing w:after="0" w:line="240" w:lineRule="auto"/>
        <w:ind w:left="-5" w:right="8"/>
        <w:jc w:val="left"/>
        <w:rPr>
          <w:lang w:val="et-EE"/>
        </w:rPr>
      </w:pPr>
      <w:r w:rsidRPr="00750422">
        <w:rPr>
          <w:lang w:val="et-EE"/>
        </w:rPr>
        <w:t xml:space="preserve">Laste ja noortega tegelevate vabaühenduste kaasamis- ja osalemisoskuste tõstmine </w:t>
      </w:r>
      <w:r w:rsidR="6B0AF2D1" w:rsidRPr="00750422">
        <w:rPr>
          <w:lang w:val="et-EE"/>
        </w:rPr>
        <w:t>kulu on planeeritud</w:t>
      </w:r>
      <w:r w:rsidR="6B0AF2D1" w:rsidRPr="00750422">
        <w:rPr>
          <w:b/>
          <w:bCs/>
          <w:lang w:val="et-EE"/>
        </w:rPr>
        <w:t xml:space="preserve"> 159 264 eurot</w:t>
      </w:r>
      <w:r w:rsidR="6B0AF2D1" w:rsidRPr="00750422">
        <w:rPr>
          <w:lang w:val="et-EE"/>
        </w:rPr>
        <w:t>, mi</w:t>
      </w:r>
      <w:r w:rsidR="008AA1EA" w:rsidRPr="00750422">
        <w:rPr>
          <w:lang w:val="et-EE"/>
        </w:rPr>
        <w:t>lle</w:t>
      </w:r>
      <w:r w:rsidR="6B0AF2D1" w:rsidRPr="00750422">
        <w:rPr>
          <w:lang w:val="et-EE"/>
        </w:rPr>
        <w:t xml:space="preserve"> jagunemine on toodud järgneva</w:t>
      </w:r>
      <w:r w:rsidR="02DC26B4" w:rsidRPr="00750422">
        <w:rPr>
          <w:lang w:val="et-EE"/>
        </w:rPr>
        <w:t>tel eelarveridadel.</w:t>
      </w:r>
    </w:p>
    <w:p w14:paraId="5D9A142F" w14:textId="27FFF5D9" w:rsidR="008D5BBD" w:rsidRPr="00750422" w:rsidRDefault="008D5BBD" w:rsidP="586471C7">
      <w:pPr>
        <w:spacing w:after="120" w:line="259" w:lineRule="auto"/>
        <w:ind w:left="345" w:hanging="360"/>
        <w:jc w:val="left"/>
        <w:rPr>
          <w:b/>
          <w:bCs/>
          <w:lang w:val="et-EE"/>
        </w:rPr>
      </w:pPr>
    </w:p>
    <w:p w14:paraId="43DFC730" w14:textId="56821A71" w:rsidR="008D5BBD" w:rsidRPr="00750422" w:rsidRDefault="008D5BBD" w:rsidP="586471C7">
      <w:pPr>
        <w:spacing w:after="120" w:line="259" w:lineRule="auto"/>
        <w:ind w:left="345" w:hanging="360"/>
        <w:jc w:val="left"/>
        <w:rPr>
          <w:lang w:val="sv-SE"/>
        </w:rPr>
      </w:pPr>
      <w:r w:rsidRPr="00750422">
        <w:rPr>
          <w:b/>
          <w:bCs/>
          <w:lang w:val="sv-SE"/>
        </w:rPr>
        <w:t>1.2.1. Maakondlike koolitus- ja arendustegevuste ette valmistami</w:t>
      </w:r>
      <w:r w:rsidR="2A96C7B2" w:rsidRPr="00750422">
        <w:rPr>
          <w:b/>
          <w:bCs/>
          <w:lang w:val="sv-SE"/>
        </w:rPr>
        <w:t>s</w:t>
      </w:r>
      <w:r w:rsidRPr="00750422">
        <w:rPr>
          <w:b/>
          <w:bCs/>
          <w:lang w:val="sv-SE"/>
        </w:rPr>
        <w:t>e ja välja töötamise kulu</w:t>
      </w:r>
      <w:r w:rsidRPr="00750422">
        <w:rPr>
          <w:lang w:val="sv-SE"/>
        </w:rPr>
        <w:t xml:space="preserve"> (eelarve tabeli rida nr 2.1.1).  </w:t>
      </w:r>
    </w:p>
    <w:p w14:paraId="2BE04D82" w14:textId="5D012390" w:rsidR="1D054A99" w:rsidRPr="00750422" w:rsidRDefault="1D054A99" w:rsidP="586471C7">
      <w:pPr>
        <w:spacing w:line="240" w:lineRule="auto"/>
        <w:ind w:left="-5" w:right="8"/>
        <w:rPr>
          <w:lang w:val="sv-SE"/>
        </w:rPr>
      </w:pPr>
      <w:r w:rsidRPr="00750422">
        <w:rPr>
          <w:lang w:val="sv-SE"/>
        </w:rPr>
        <w:t>2026. aastal on Maakondlike koolitus- ja arendustegevuste ette valmistami</w:t>
      </w:r>
      <w:r w:rsidR="78C52B98" w:rsidRPr="00750422">
        <w:rPr>
          <w:lang w:val="sv-SE"/>
        </w:rPr>
        <w:t>s</w:t>
      </w:r>
      <w:r w:rsidRPr="00750422">
        <w:rPr>
          <w:lang w:val="sv-SE"/>
        </w:rPr>
        <w:t>e ja välja töötami</w:t>
      </w:r>
      <w:r w:rsidR="60B13524" w:rsidRPr="00750422">
        <w:rPr>
          <w:lang w:val="sv-SE"/>
        </w:rPr>
        <w:t>s</w:t>
      </w:r>
      <w:r w:rsidRPr="00750422">
        <w:rPr>
          <w:lang w:val="sv-SE"/>
        </w:rPr>
        <w:t xml:space="preserve">e kulu kokku </w:t>
      </w:r>
      <w:r w:rsidRPr="00750422">
        <w:rPr>
          <w:b/>
          <w:bCs/>
          <w:lang w:val="sv-SE"/>
        </w:rPr>
        <w:t>72 264 eurot</w:t>
      </w:r>
      <w:r w:rsidRPr="00750422">
        <w:rPr>
          <w:lang w:val="sv-SE"/>
        </w:rPr>
        <w:t>, mis jaguneb järgmiselt:</w:t>
      </w:r>
    </w:p>
    <w:p w14:paraId="51DCD112" w14:textId="17E2C3E6" w:rsidR="7C7F9B5C" w:rsidRPr="00750422" w:rsidRDefault="7C7F9B5C" w:rsidP="586471C7">
      <w:pPr>
        <w:spacing w:line="240" w:lineRule="auto"/>
        <w:ind w:left="-5" w:right="8"/>
        <w:jc w:val="left"/>
        <w:rPr>
          <w:lang w:val="sv-SE"/>
        </w:rPr>
      </w:pPr>
    </w:p>
    <w:p w14:paraId="188ECAAA" w14:textId="6D3EE486" w:rsidR="005D1CBB" w:rsidRPr="00750422" w:rsidRDefault="00C63C02" w:rsidP="586471C7">
      <w:pPr>
        <w:spacing w:line="240" w:lineRule="auto"/>
        <w:ind w:left="-5" w:right="8"/>
        <w:jc w:val="left"/>
        <w:rPr>
          <w:lang w:val="sv-SE"/>
        </w:rPr>
      </w:pPr>
      <w:r w:rsidRPr="00750422">
        <w:rPr>
          <w:lang w:val="sv-SE"/>
        </w:rPr>
        <w:t>2026. aasta jaanuaris sõlmitakse hankeleping teenusepakkuja</w:t>
      </w:r>
      <w:r w:rsidR="6BE5132C" w:rsidRPr="00750422">
        <w:rPr>
          <w:lang w:val="sv-SE"/>
        </w:rPr>
        <w:t>(te)ga</w:t>
      </w:r>
      <w:r w:rsidRPr="00750422">
        <w:rPr>
          <w:lang w:val="sv-SE"/>
        </w:rPr>
        <w:t>, kes alusta</w:t>
      </w:r>
      <w:r w:rsidR="04B996CC" w:rsidRPr="00750422">
        <w:rPr>
          <w:lang w:val="sv-SE"/>
        </w:rPr>
        <w:t>vad</w:t>
      </w:r>
      <w:r w:rsidRPr="00750422">
        <w:rPr>
          <w:lang w:val="sv-SE"/>
        </w:rPr>
        <w:t xml:space="preserve"> </w:t>
      </w:r>
      <w:r w:rsidR="24D63A24" w:rsidRPr="00750422">
        <w:rPr>
          <w:lang w:val="sv-SE"/>
        </w:rPr>
        <w:t>m</w:t>
      </w:r>
      <w:r w:rsidRPr="00750422">
        <w:rPr>
          <w:lang w:val="sv-SE"/>
        </w:rPr>
        <w:t>tyabi.ee veebilehele Vabakonna Akadeemia (VABAK) tööriistakasti looma</w:t>
      </w:r>
      <w:r w:rsidR="0B3F322E" w:rsidRPr="00750422">
        <w:rPr>
          <w:lang w:val="sv-SE"/>
        </w:rPr>
        <w:t xml:space="preserve"> ja kogukonnapraktika.ee platvormi uuendama</w:t>
      </w:r>
      <w:r w:rsidRPr="00750422">
        <w:rPr>
          <w:lang w:val="sv-SE"/>
        </w:rPr>
        <w:t xml:space="preserve">. VABAK tööriistakastist </w:t>
      </w:r>
      <w:r w:rsidR="6A85CF54" w:rsidRPr="00750422">
        <w:rPr>
          <w:lang w:val="sv-SE"/>
        </w:rPr>
        <w:t xml:space="preserve">ja kogukonnapraktika platvormi arendamisest </w:t>
      </w:r>
      <w:r w:rsidRPr="00750422">
        <w:rPr>
          <w:lang w:val="sv-SE"/>
        </w:rPr>
        <w:t>kirjutatakse täpsemalt antud projekti 2026. aasta tegevuskavas.</w:t>
      </w:r>
      <w:r w:rsidR="3E18B755" w:rsidRPr="00750422">
        <w:rPr>
          <w:lang w:val="sv-SE"/>
        </w:rPr>
        <w:t xml:space="preserve"> </w:t>
      </w:r>
      <w:r w:rsidRPr="00750422">
        <w:rPr>
          <w:lang w:val="sv-SE"/>
        </w:rPr>
        <w:t xml:space="preserve"> VABAK tööriistakasti loomiseks </w:t>
      </w:r>
      <w:r w:rsidR="61864435" w:rsidRPr="00750422">
        <w:rPr>
          <w:lang w:val="sv-SE"/>
        </w:rPr>
        <w:t xml:space="preserve">ja  kogukonnapraktika platvormi uuendamiseks </w:t>
      </w:r>
      <w:r w:rsidRPr="00750422">
        <w:rPr>
          <w:lang w:val="sv-SE"/>
        </w:rPr>
        <w:t xml:space="preserve">on planeeritud 2026. aasta eelarvesse </w:t>
      </w:r>
      <w:r w:rsidR="533288C1" w:rsidRPr="00750422">
        <w:rPr>
          <w:b/>
          <w:bCs/>
          <w:lang w:val="sv-SE"/>
        </w:rPr>
        <w:t>45 000</w:t>
      </w:r>
      <w:r w:rsidRPr="00750422">
        <w:rPr>
          <w:b/>
          <w:bCs/>
          <w:lang w:val="sv-SE"/>
        </w:rPr>
        <w:t xml:space="preserve">€. </w:t>
      </w:r>
      <w:r w:rsidRPr="00750422">
        <w:rPr>
          <w:lang w:val="sv-SE"/>
        </w:rPr>
        <w:br/>
      </w:r>
    </w:p>
    <w:p w14:paraId="18D45E6E" w14:textId="605B153E" w:rsidR="008D5BBD" w:rsidRPr="00750422" w:rsidRDefault="005D1CBB" w:rsidP="586471C7">
      <w:pPr>
        <w:spacing w:line="240" w:lineRule="auto"/>
        <w:ind w:left="-5" w:right="8"/>
        <w:rPr>
          <w:lang w:val="sv-SE"/>
        </w:rPr>
      </w:pPr>
      <w:r w:rsidRPr="00750422">
        <w:rPr>
          <w:lang w:val="sv-SE"/>
        </w:rPr>
        <w:t xml:space="preserve">2024. aastal moodustati töögrupp (edaspidi </w:t>
      </w:r>
      <w:r w:rsidRPr="00750422">
        <w:rPr>
          <w:i/>
          <w:iCs/>
          <w:lang w:val="sv-SE"/>
        </w:rPr>
        <w:t>MK töögrupp</w:t>
      </w:r>
      <w:r w:rsidRPr="00750422">
        <w:rPr>
          <w:lang w:val="sv-SE"/>
        </w:rPr>
        <w:t>), vabaühenduste kaasamisoskuste arendamise eesmärgil.</w:t>
      </w:r>
      <w:r w:rsidR="00D77C29" w:rsidRPr="00750422">
        <w:rPr>
          <w:lang w:val="sv-SE"/>
        </w:rPr>
        <w:t xml:space="preserve"> </w:t>
      </w:r>
      <w:r w:rsidR="00AB2C7F" w:rsidRPr="00750422">
        <w:rPr>
          <w:lang w:val="sv-SE"/>
        </w:rPr>
        <w:t>VABAK tööriistakasti tulevad erinevad tööriistad, mis on MK töögrupi poolt ära otsustatud uuringutelt (”Maakonnas tegutsevate vabaühenduste laste ja noorte kaasamise kaardistusuuringu kokkuvõte”L. Teder, tehti aastal 2024 ja ”Noorte kaasamise kontseptsioon ja tegevuskava” SA Mõttekoda Praxis, tehti aastal 2025) saadud ülevaate põhjal</w:t>
      </w:r>
      <w:r w:rsidR="00A072A6" w:rsidRPr="00750422">
        <w:rPr>
          <w:lang w:val="sv-SE"/>
        </w:rPr>
        <w:t xml:space="preserve">, mille kohta koostati antud tegevussuuna </w:t>
      </w:r>
      <w:r w:rsidR="00BD3E8C" w:rsidRPr="00750422">
        <w:rPr>
          <w:lang w:val="sv-SE"/>
        </w:rPr>
        <w:t>tegevuskava aastateks 2026-2028</w:t>
      </w:r>
      <w:r w:rsidR="00432FCB" w:rsidRPr="00750422">
        <w:rPr>
          <w:lang w:val="sv-SE"/>
        </w:rPr>
        <w:t>.</w:t>
      </w:r>
      <w:r w:rsidR="542B75F3" w:rsidRPr="00750422">
        <w:rPr>
          <w:lang w:val="sv-SE"/>
        </w:rPr>
        <w:t xml:space="preserve"> 2025. aastal viis Mirell Merirand läbi laiapõhjalise uuringu koguk</w:t>
      </w:r>
      <w:r w:rsidR="781ADE9C" w:rsidRPr="00750422">
        <w:rPr>
          <w:lang w:val="sv-SE"/>
        </w:rPr>
        <w:t xml:space="preserve">onnapraktika kohta ja tegi aasta lõpuks parandusettepanekud </w:t>
      </w:r>
      <w:r w:rsidR="61D6C12F" w:rsidRPr="00750422">
        <w:rPr>
          <w:lang w:val="sv-SE"/>
        </w:rPr>
        <w:t>kuidas parandada kogukonnapraktika mudelit ja platvormi. Projekti raames hakatakse kogukuonnapraktika tööriista, kui ühte ol</w:t>
      </w:r>
      <w:r w:rsidR="03CBDA53" w:rsidRPr="00750422">
        <w:rPr>
          <w:lang w:val="sv-SE"/>
        </w:rPr>
        <w:t>ulisemat tööriista VABAKis arendama. Nii</w:t>
      </w:r>
      <w:r w:rsidR="2AB486BC" w:rsidRPr="00750422">
        <w:rPr>
          <w:lang w:val="sv-SE"/>
        </w:rPr>
        <w:t xml:space="preserve"> kogukonnapraktika platvormi arendus kui ka</w:t>
      </w:r>
      <w:r w:rsidR="00432FCB" w:rsidRPr="00750422">
        <w:rPr>
          <w:lang w:val="sv-SE"/>
        </w:rPr>
        <w:t xml:space="preserve"> </w:t>
      </w:r>
      <w:r w:rsidR="754AA1DB" w:rsidRPr="00750422">
        <w:rPr>
          <w:lang w:val="sv-SE"/>
        </w:rPr>
        <w:t xml:space="preserve">VABAK </w:t>
      </w:r>
      <w:r w:rsidR="389B6B65" w:rsidRPr="00750422">
        <w:rPr>
          <w:lang w:val="sv-SE"/>
        </w:rPr>
        <w:t>t</w:t>
      </w:r>
      <w:r w:rsidR="00AB2C7F" w:rsidRPr="00750422">
        <w:rPr>
          <w:lang w:val="sv-SE"/>
        </w:rPr>
        <w:t xml:space="preserve">ööriistakasti täpne disain ja elemendid </w:t>
      </w:r>
      <w:r w:rsidR="730F339A" w:rsidRPr="00750422">
        <w:rPr>
          <w:lang w:val="sv-SE"/>
        </w:rPr>
        <w:t>teostatakse hankelepingu raames ja MK töögrupiga koostöös.</w:t>
      </w:r>
      <w:r w:rsidR="000A477B" w:rsidRPr="00750422">
        <w:rPr>
          <w:lang w:val="sv-SE"/>
        </w:rPr>
        <w:t xml:space="preserve"> </w:t>
      </w:r>
      <w:r w:rsidR="00AE5C49" w:rsidRPr="00750422">
        <w:rPr>
          <w:lang w:val="sv-SE"/>
        </w:rPr>
        <w:t xml:space="preserve">MK töögrupi kaasamisega seotud kulud (näiteks transpordi-, majutus-, toitlustus- ja seminariruumide rendi jms kulud) ning MK töögrupi liikmete tööjõukulud. MK töögrupis osalemine võtab ajaressurssi, selle kompenseerimiseks on MK töögrupi liikmetele planeeritud käsunduslepingu alusel tunnitasu 13.3 € (bruto). Ajaliselt on planeeritud MK töögrupi liikme töömahuks 15 tundi kuus, käsunduslepingud sõlmitakse 2026. aasta </w:t>
      </w:r>
      <w:r w:rsidR="4618CAEB" w:rsidRPr="00750422">
        <w:rPr>
          <w:lang w:val="sv-SE"/>
        </w:rPr>
        <w:t>veebruar</w:t>
      </w:r>
      <w:r w:rsidR="00AE5C49" w:rsidRPr="00750422">
        <w:rPr>
          <w:lang w:val="sv-SE"/>
        </w:rPr>
        <w:t xml:space="preserve">ist </w:t>
      </w:r>
      <w:r w:rsidR="4EA7B997" w:rsidRPr="00750422">
        <w:rPr>
          <w:lang w:val="sv-SE"/>
        </w:rPr>
        <w:t>novembrini</w:t>
      </w:r>
      <w:r w:rsidR="00AE5C49" w:rsidRPr="00750422">
        <w:rPr>
          <w:lang w:val="sv-SE"/>
        </w:rPr>
        <w:t xml:space="preserve"> (k.a.). MK töögrupi suuruseks on </w:t>
      </w:r>
      <w:r w:rsidR="0549798C" w:rsidRPr="00750422">
        <w:rPr>
          <w:lang w:val="sv-SE"/>
        </w:rPr>
        <w:t>kaheksa</w:t>
      </w:r>
      <w:r w:rsidR="00AE5C49" w:rsidRPr="00750422">
        <w:rPr>
          <w:lang w:val="sv-SE"/>
        </w:rPr>
        <w:t xml:space="preserve"> inimest neist </w:t>
      </w:r>
      <w:r w:rsidR="42068D36" w:rsidRPr="00750422">
        <w:rPr>
          <w:lang w:val="sv-SE"/>
        </w:rPr>
        <w:t>kuu</w:t>
      </w:r>
      <w:r w:rsidR="007F4D8F" w:rsidRPr="00750422">
        <w:rPr>
          <w:lang w:val="sv-SE"/>
        </w:rPr>
        <w:t>e</w:t>
      </w:r>
      <w:r w:rsidR="00AE5C49" w:rsidRPr="00750422">
        <w:rPr>
          <w:lang w:val="sv-SE"/>
        </w:rPr>
        <w:t xml:space="preserve"> liikmega sõlmitakse käsundus-või töövõtulepingud. Kaks </w:t>
      </w:r>
      <w:r w:rsidR="00610C67" w:rsidRPr="00750422">
        <w:rPr>
          <w:lang w:val="sv-SE"/>
        </w:rPr>
        <w:t>MK</w:t>
      </w:r>
      <w:r w:rsidR="00AE5C49" w:rsidRPr="00750422">
        <w:rPr>
          <w:lang w:val="sv-SE"/>
        </w:rPr>
        <w:t xml:space="preserve"> töögrupi liiget on käesoleva projekti projektijuht ja -spetsialist, kellele on kõnealuse töögrupi töös osalemine töölepinguliselt projektis kokku lepitud.</w:t>
      </w:r>
      <w:r w:rsidR="0054021C" w:rsidRPr="00750422">
        <w:rPr>
          <w:lang w:val="sv-SE"/>
        </w:rPr>
        <w:t xml:space="preserve"> </w:t>
      </w:r>
      <w:r w:rsidR="2F4AA90F" w:rsidRPr="00750422">
        <w:rPr>
          <w:lang w:val="sv-SE"/>
        </w:rPr>
        <w:t xml:space="preserve">Sellest aastast liitub MK töögrupiga Mirell Merirand, kes alustab täpsemat kogukonnapraktika tööriista arendust </w:t>
      </w:r>
      <w:r w:rsidR="5D71FE58" w:rsidRPr="00750422">
        <w:rPr>
          <w:lang w:val="sv-SE"/>
        </w:rPr>
        <w:t xml:space="preserve">ning räägib </w:t>
      </w:r>
      <w:r w:rsidR="2F4AA90F" w:rsidRPr="00750422">
        <w:rPr>
          <w:lang w:val="sv-SE"/>
        </w:rPr>
        <w:t>VABAK</w:t>
      </w:r>
      <w:r w:rsidR="43729435" w:rsidRPr="00750422">
        <w:rPr>
          <w:lang w:val="sv-SE"/>
        </w:rPr>
        <w:t xml:space="preserve"> </w:t>
      </w:r>
      <w:r w:rsidR="407A8BB4" w:rsidRPr="00750422">
        <w:rPr>
          <w:lang w:val="sv-SE"/>
        </w:rPr>
        <w:t>platvormi kujundamisel kaasa koos</w:t>
      </w:r>
      <w:r w:rsidR="00AE5C49" w:rsidRPr="00750422">
        <w:rPr>
          <w:lang w:val="sv-SE"/>
        </w:rPr>
        <w:t xml:space="preserve"> </w:t>
      </w:r>
      <w:r w:rsidR="00610C67" w:rsidRPr="00750422">
        <w:rPr>
          <w:lang w:val="sv-SE"/>
        </w:rPr>
        <w:t>MK</w:t>
      </w:r>
      <w:r w:rsidR="00AE5C49" w:rsidRPr="00750422">
        <w:rPr>
          <w:lang w:val="sv-SE"/>
        </w:rPr>
        <w:t xml:space="preserve"> töögrupiga</w:t>
      </w:r>
      <w:r w:rsidR="2E1A38B0" w:rsidRPr="00750422">
        <w:rPr>
          <w:lang w:val="sv-SE"/>
        </w:rPr>
        <w:t xml:space="preserve"> Mirelli töötunnid nimetatud perioodil on kokku lepitud 80 </w:t>
      </w:r>
      <w:r w:rsidR="2C473962" w:rsidRPr="00750422">
        <w:rPr>
          <w:lang w:val="sv-SE"/>
        </w:rPr>
        <w:t xml:space="preserve">tundi </w:t>
      </w:r>
      <w:r w:rsidR="2E1A38B0" w:rsidRPr="00750422">
        <w:rPr>
          <w:lang w:val="sv-SE"/>
        </w:rPr>
        <w:t xml:space="preserve">kuus. Tunnihinde maksumus jääb </w:t>
      </w:r>
      <w:r w:rsidR="787AF248" w:rsidRPr="00750422">
        <w:rPr>
          <w:lang w:val="sv-SE"/>
        </w:rPr>
        <w:t xml:space="preserve">samaks, mis teistel </w:t>
      </w:r>
      <w:r w:rsidR="787AF248" w:rsidRPr="00750422">
        <w:rPr>
          <w:lang w:val="sv-SE"/>
        </w:rPr>
        <w:lastRenderedPageBreak/>
        <w:t>töögrupi liikmetele.</w:t>
      </w:r>
      <w:r w:rsidR="0DF86FAF" w:rsidRPr="00750422">
        <w:rPr>
          <w:lang w:val="sv-SE"/>
        </w:rPr>
        <w:t xml:space="preserve"> </w:t>
      </w:r>
      <w:r w:rsidR="5B08A644" w:rsidRPr="00750422">
        <w:rPr>
          <w:lang w:val="sv-SE"/>
        </w:rPr>
        <w:t>K</w:t>
      </w:r>
      <w:r w:rsidR="0DF86FAF" w:rsidRPr="00750422">
        <w:rPr>
          <w:lang w:val="sv-SE"/>
        </w:rPr>
        <w:t>äsundus</w:t>
      </w:r>
      <w:r w:rsidR="0B923EC6" w:rsidRPr="00750422">
        <w:rPr>
          <w:lang w:val="sv-SE"/>
        </w:rPr>
        <w:t>- või töövõtulepingu</w:t>
      </w:r>
      <w:r w:rsidR="0DF86FAF" w:rsidRPr="00750422">
        <w:rPr>
          <w:lang w:val="sv-SE"/>
        </w:rPr>
        <w:t xml:space="preserve"> alusel </w:t>
      </w:r>
      <w:r w:rsidR="00AE5C49" w:rsidRPr="00750422">
        <w:rPr>
          <w:lang w:val="sv-SE"/>
        </w:rPr>
        <w:t xml:space="preserve"> seotud kuludeks on planeeritud </w:t>
      </w:r>
      <w:r w:rsidR="1679AACF" w:rsidRPr="00750422">
        <w:rPr>
          <w:b/>
          <w:bCs/>
          <w:lang w:val="sv-SE"/>
        </w:rPr>
        <w:t>26 264</w:t>
      </w:r>
      <w:r w:rsidR="00AE5C49" w:rsidRPr="00750422">
        <w:rPr>
          <w:b/>
          <w:bCs/>
          <w:lang w:val="sv-SE"/>
        </w:rPr>
        <w:t>€</w:t>
      </w:r>
      <w:r w:rsidR="00AE5C49" w:rsidRPr="00750422">
        <w:rPr>
          <w:lang w:val="sv-SE"/>
        </w:rPr>
        <w:t xml:space="preserve">. </w:t>
      </w:r>
      <w:r w:rsidR="2641FB32" w:rsidRPr="00750422">
        <w:rPr>
          <w:lang w:val="sv-SE"/>
        </w:rPr>
        <w:t xml:space="preserve">MK töögrupp saab kaks korda aasta jooksul ka </w:t>
      </w:r>
      <w:r w:rsidR="63FBE351" w:rsidRPr="00750422">
        <w:rPr>
          <w:lang w:val="sv-SE"/>
        </w:rPr>
        <w:t xml:space="preserve">füüsilisteks </w:t>
      </w:r>
      <w:r w:rsidR="2641FB32" w:rsidRPr="00750422">
        <w:rPr>
          <w:lang w:val="sv-SE"/>
        </w:rPr>
        <w:t xml:space="preserve">koosolekuteks kokku. Koosolekute korraldamiseks on planeeritud </w:t>
      </w:r>
      <w:r w:rsidR="2641FB32" w:rsidRPr="00750422">
        <w:rPr>
          <w:b/>
          <w:bCs/>
          <w:lang w:val="sv-SE"/>
        </w:rPr>
        <w:t xml:space="preserve">1000 € </w:t>
      </w:r>
    </w:p>
    <w:p w14:paraId="26376DCA" w14:textId="77777777" w:rsidR="008D5BBD" w:rsidRPr="00750422" w:rsidRDefault="008D5BBD" w:rsidP="586471C7">
      <w:pPr>
        <w:spacing w:after="0" w:line="259" w:lineRule="auto"/>
        <w:ind w:left="0" w:firstLine="0"/>
        <w:jc w:val="left"/>
        <w:rPr>
          <w:lang w:val="sv-SE"/>
        </w:rPr>
      </w:pPr>
      <w:r w:rsidRPr="00750422">
        <w:rPr>
          <w:lang w:val="sv-SE"/>
        </w:rPr>
        <w:t xml:space="preserve"> </w:t>
      </w:r>
    </w:p>
    <w:p w14:paraId="54FE130E" w14:textId="021DFDBD" w:rsidR="004A36C8" w:rsidRPr="008445FA" w:rsidRDefault="004A36C8" w:rsidP="586471C7">
      <w:pPr>
        <w:spacing w:after="0" w:line="259" w:lineRule="auto"/>
        <w:ind w:left="-5"/>
        <w:jc w:val="left"/>
        <w:rPr>
          <w:lang w:val="sv-SE"/>
        </w:rPr>
      </w:pPr>
    </w:p>
    <w:p w14:paraId="322DF20E" w14:textId="77777777" w:rsidR="004A36C8" w:rsidRPr="008445FA" w:rsidRDefault="00C44CA1" w:rsidP="586471C7">
      <w:pPr>
        <w:spacing w:after="0" w:line="259" w:lineRule="auto"/>
        <w:ind w:left="-5"/>
        <w:jc w:val="left"/>
        <w:rPr>
          <w:lang w:val="sv-SE"/>
        </w:rPr>
      </w:pPr>
      <w:r w:rsidRPr="586471C7">
        <w:rPr>
          <w:b/>
          <w:bCs/>
          <w:lang w:val="sv-SE"/>
        </w:rPr>
        <w:t>1.2.1.2</w:t>
      </w:r>
      <w:r w:rsidRPr="586471C7">
        <w:rPr>
          <w:lang w:val="sv-SE"/>
        </w:rPr>
        <w:t xml:space="preserve"> </w:t>
      </w:r>
      <w:r w:rsidRPr="586471C7">
        <w:rPr>
          <w:b/>
          <w:bCs/>
          <w:lang w:val="sv-SE"/>
        </w:rPr>
        <w:t>Maakondlike koolitus- ja arendustegevuste läbi viimise kulu</w:t>
      </w:r>
      <w:r w:rsidRPr="586471C7">
        <w:rPr>
          <w:lang w:val="sv-SE"/>
        </w:rPr>
        <w:t xml:space="preserve"> (eelarve tabeli rida nr 2.1.2). </w:t>
      </w:r>
    </w:p>
    <w:p w14:paraId="27ABC121" w14:textId="77777777" w:rsidR="004A36C8" w:rsidRPr="008445FA" w:rsidRDefault="00C44CA1" w:rsidP="586471C7">
      <w:pPr>
        <w:spacing w:after="0" w:line="259" w:lineRule="auto"/>
        <w:ind w:left="0" w:firstLine="0"/>
        <w:jc w:val="left"/>
        <w:rPr>
          <w:lang w:val="sv-SE"/>
        </w:rPr>
      </w:pPr>
      <w:r w:rsidRPr="586471C7">
        <w:rPr>
          <w:lang w:val="sv-SE"/>
        </w:rPr>
        <w:t xml:space="preserve"> </w:t>
      </w:r>
    </w:p>
    <w:p w14:paraId="6F1E8136" w14:textId="47A7C0A8" w:rsidR="00D7140A" w:rsidRPr="00D7140A" w:rsidRDefault="00D7140A" w:rsidP="586471C7">
      <w:pPr>
        <w:spacing w:after="0" w:line="259" w:lineRule="auto"/>
        <w:ind w:left="0" w:firstLine="0"/>
        <w:jc w:val="left"/>
        <w:rPr>
          <w:lang w:val="sv-SE"/>
        </w:rPr>
      </w:pPr>
      <w:r w:rsidRPr="36D3A451">
        <w:rPr>
          <w:lang w:val="sv-SE"/>
        </w:rPr>
        <w:t xml:space="preserve">Koolitus- ja arendustegevuste läbiviimise kulusid on planeeritud </w:t>
      </w:r>
      <w:r w:rsidR="0164BE0C" w:rsidRPr="36D3A451">
        <w:rPr>
          <w:b/>
          <w:bCs/>
          <w:lang w:val="sv-SE"/>
        </w:rPr>
        <w:t>8</w:t>
      </w:r>
      <w:r w:rsidRPr="36D3A451">
        <w:rPr>
          <w:b/>
          <w:bCs/>
          <w:lang w:val="sv-SE"/>
        </w:rPr>
        <w:t>5 000 eurot</w:t>
      </w:r>
      <w:r w:rsidRPr="36D3A451">
        <w:rPr>
          <w:lang w:val="sv-SE"/>
        </w:rPr>
        <w:t>.</w:t>
      </w:r>
      <w:r w:rsidRPr="00750422">
        <w:rPr>
          <w:lang w:val="sv-SE"/>
        </w:rPr>
        <w:br/>
      </w:r>
      <w:r w:rsidRPr="36D3A451">
        <w:rPr>
          <w:lang w:val="sv-SE"/>
        </w:rPr>
        <w:t xml:space="preserve">2026. aasta alguses leitakse teenusepakkuja, kes aastatel 2026–2028 viib üle Eesti läbi </w:t>
      </w:r>
      <w:r w:rsidR="2107054D" w:rsidRPr="36D3A451">
        <w:rPr>
          <w:lang w:val="sv-SE"/>
        </w:rPr>
        <w:t>15</w:t>
      </w:r>
      <w:r w:rsidRPr="36D3A451">
        <w:rPr>
          <w:lang w:val="sv-SE"/>
        </w:rPr>
        <w:t xml:space="preserve"> häkatoni. </w:t>
      </w:r>
      <w:r w:rsidR="5E91DE5A" w:rsidRPr="36D3A451">
        <w:rPr>
          <w:lang w:val="sv-SE"/>
        </w:rPr>
        <w:t xml:space="preserve">2026 toimub neist 5 häkatoni. </w:t>
      </w:r>
      <w:r w:rsidRPr="36D3A451">
        <w:rPr>
          <w:lang w:val="sv-SE"/>
        </w:rPr>
        <w:t xml:space="preserve">Häkatonide korraldamiseks </w:t>
      </w:r>
      <w:r w:rsidR="5CA0AFFD" w:rsidRPr="36D3A451">
        <w:rPr>
          <w:lang w:val="sv-SE"/>
        </w:rPr>
        <w:t xml:space="preserve">sõlmitakse </w:t>
      </w:r>
      <w:r w:rsidRPr="36D3A451">
        <w:rPr>
          <w:lang w:val="sv-SE"/>
        </w:rPr>
        <w:t>teenusepakkuja</w:t>
      </w:r>
      <w:r w:rsidR="00E04B7E" w:rsidRPr="36D3A451">
        <w:rPr>
          <w:lang w:val="sv-SE"/>
        </w:rPr>
        <w:t xml:space="preserve"> hankeleping</w:t>
      </w:r>
      <w:r w:rsidRPr="36D3A451">
        <w:rPr>
          <w:lang w:val="sv-SE"/>
        </w:rPr>
        <w:t>, kes vastavalt ette antud formaadile pakub nn täislahendust. Ühe häkatoni hinnaks on</w:t>
      </w:r>
      <w:r w:rsidR="4A253786" w:rsidRPr="36D3A451">
        <w:rPr>
          <w:lang w:val="sv-SE"/>
        </w:rPr>
        <w:t xml:space="preserve"> planeeritud</w:t>
      </w:r>
      <w:r w:rsidRPr="36D3A451">
        <w:rPr>
          <w:lang w:val="sv-SE"/>
        </w:rPr>
        <w:t xml:space="preserve"> </w:t>
      </w:r>
      <w:r w:rsidR="1E93A4C2" w:rsidRPr="36D3A451">
        <w:rPr>
          <w:lang w:val="sv-SE"/>
        </w:rPr>
        <w:t>17</w:t>
      </w:r>
      <w:r w:rsidRPr="36D3A451">
        <w:rPr>
          <w:lang w:val="sv-SE"/>
        </w:rPr>
        <w:t xml:space="preserve"> 000 eurot, mis katab kõik korralduslikud kulud (ruumid, tehnika, osalejate transport, toitlustus</w:t>
      </w:r>
      <w:r w:rsidR="09147CE2" w:rsidRPr="36D3A451">
        <w:rPr>
          <w:lang w:val="sv-SE"/>
        </w:rPr>
        <w:t>,</w:t>
      </w:r>
      <w:r w:rsidRPr="36D3A451">
        <w:rPr>
          <w:lang w:val="sv-SE"/>
        </w:rPr>
        <w:t xml:space="preserve"> modereerimine</w:t>
      </w:r>
      <w:r w:rsidR="5D0A43D7" w:rsidRPr="36D3A451">
        <w:rPr>
          <w:lang w:val="sv-SE"/>
        </w:rPr>
        <w:t>, fototeenus, teavituskulu</w:t>
      </w:r>
      <w:r w:rsidR="145C1F1B" w:rsidRPr="36D3A451">
        <w:rPr>
          <w:lang w:val="sv-SE"/>
        </w:rPr>
        <w:t xml:space="preserve"> jms kulu</w:t>
      </w:r>
      <w:r w:rsidRPr="36D3A451">
        <w:rPr>
          <w:lang w:val="sv-SE"/>
        </w:rPr>
        <w:t>).</w:t>
      </w:r>
    </w:p>
    <w:p w14:paraId="5A8F0048" w14:textId="77777777" w:rsidR="004A36C8" w:rsidRPr="00D7140A" w:rsidRDefault="00C44CA1" w:rsidP="586471C7">
      <w:pPr>
        <w:spacing w:after="0" w:line="259" w:lineRule="auto"/>
        <w:ind w:left="0" w:firstLine="0"/>
        <w:jc w:val="left"/>
        <w:rPr>
          <w:lang w:val="sv-SE"/>
        </w:rPr>
      </w:pPr>
      <w:r w:rsidRPr="586471C7">
        <w:rPr>
          <w:lang w:val="sv-SE"/>
        </w:rPr>
        <w:t xml:space="preserve"> </w:t>
      </w:r>
    </w:p>
    <w:p w14:paraId="3B0AAE69" w14:textId="77777777" w:rsidR="004A36C8" w:rsidRPr="008445FA" w:rsidRDefault="00C44CA1" w:rsidP="586471C7">
      <w:pPr>
        <w:spacing w:after="0" w:line="259" w:lineRule="auto"/>
        <w:ind w:left="-5"/>
        <w:jc w:val="left"/>
        <w:rPr>
          <w:lang w:val="sv-SE"/>
        </w:rPr>
      </w:pPr>
      <w:r w:rsidRPr="586471C7">
        <w:rPr>
          <w:b/>
          <w:bCs/>
          <w:lang w:val="sv-SE"/>
        </w:rPr>
        <w:t>1.2.1.3 Maakondlike koolitus- ja arendustegevuste hindamise kulu</w:t>
      </w:r>
      <w:r w:rsidRPr="586471C7">
        <w:rPr>
          <w:lang w:val="sv-SE"/>
        </w:rPr>
        <w:t xml:space="preserve"> (eelarve tabeli rida nr </w:t>
      </w:r>
    </w:p>
    <w:p w14:paraId="23D1CD56" w14:textId="77777777" w:rsidR="004A36C8" w:rsidRPr="008445FA" w:rsidRDefault="00C44CA1" w:rsidP="586471C7">
      <w:pPr>
        <w:spacing w:after="31"/>
        <w:ind w:left="-5" w:right="8"/>
        <w:rPr>
          <w:lang w:val="sv-SE"/>
        </w:rPr>
      </w:pPr>
      <w:r w:rsidRPr="586471C7">
        <w:rPr>
          <w:lang w:val="sv-SE"/>
        </w:rPr>
        <w:t xml:space="preserve">2.1.3).  </w:t>
      </w:r>
    </w:p>
    <w:p w14:paraId="77162E3C" w14:textId="2FD754BB" w:rsidR="7C7F9B5C" w:rsidRDefault="7C7F9B5C" w:rsidP="586471C7">
      <w:pPr>
        <w:spacing w:after="31"/>
        <w:ind w:left="-5" w:right="8"/>
        <w:rPr>
          <w:color w:val="000000" w:themeColor="text1"/>
          <w:lang w:val="sv-SE"/>
        </w:rPr>
      </w:pPr>
    </w:p>
    <w:p w14:paraId="699CA5F4" w14:textId="63E4AB1F" w:rsidR="7545FB0C" w:rsidRPr="00750422" w:rsidRDefault="7F3D8A44" w:rsidP="5FE57C4F">
      <w:pPr>
        <w:tabs>
          <w:tab w:val="left" w:pos="426"/>
        </w:tabs>
        <w:spacing w:after="0" w:line="240" w:lineRule="auto"/>
        <w:ind w:left="0"/>
        <w:rPr>
          <w:lang w:val="et-EE"/>
        </w:rPr>
      </w:pPr>
      <w:r w:rsidRPr="4CDB957E">
        <w:rPr>
          <w:lang w:val="et-EE"/>
        </w:rPr>
        <w:t xml:space="preserve">Projekti tegevussuundade </w:t>
      </w:r>
      <w:r w:rsidRPr="4CDB957E">
        <w:rPr>
          <w:lang w:val="sv"/>
        </w:rPr>
        <w:t>eesmärgipärasust, tulemuslikkust ja tõhusust hinnatakse kui ühte tervikut,</w:t>
      </w:r>
      <w:r w:rsidRPr="4CDB957E">
        <w:rPr>
          <w:lang w:val="et-EE"/>
        </w:rPr>
        <w:t xml:space="preserve"> kus hindaja muuhulgas toob välja nii õnnestumised kui kitsaskohad. Hindajaks on valdkonna ekspert, kes ei ole projekti tegevusega muus mõttes seotud, tagades objektiivsuse. Hindaja vaatab üle kogu tegevuse projektiüleselt ja tegevussuundade kaupa ning kujundab oma arvamuse saadud materjalide põhjal. Hindaja koostab 2026. aasta lõpuks raporti, mis avaldatakse KÜSK kodulehel. Protsessi korratakse 2028. aastal, mil hindaja kujundab enda lõpliku hinnangu projekti tegevuse, eesmärgipärasuse, tõhususe ja tulemuslikkuse osas.</w:t>
      </w:r>
      <w:r w:rsidRPr="00750422">
        <w:rPr>
          <w:color w:val="000000" w:themeColor="text1"/>
          <w:lang w:val="et-EE"/>
        </w:rPr>
        <w:t xml:space="preserve"> </w:t>
      </w:r>
    </w:p>
    <w:p w14:paraId="4851F4F9" w14:textId="1EE92C97" w:rsidR="7545FB0C" w:rsidRPr="00750422" w:rsidRDefault="7545FB0C" w:rsidP="586471C7">
      <w:pPr>
        <w:spacing w:after="31"/>
        <w:ind w:left="-5" w:right="8"/>
        <w:rPr>
          <w:lang w:val="et-EE"/>
        </w:rPr>
      </w:pPr>
      <w:r w:rsidRPr="00750422">
        <w:rPr>
          <w:color w:val="000000" w:themeColor="text1"/>
          <w:lang w:val="et-EE"/>
        </w:rPr>
        <w:t>Projekti tegevussuund</w:t>
      </w:r>
      <w:r w:rsidR="1648A443" w:rsidRPr="00750422">
        <w:rPr>
          <w:color w:val="000000" w:themeColor="text1"/>
          <w:lang w:val="et-EE"/>
        </w:rPr>
        <w:t>ade elluviimist ja mõju</w:t>
      </w:r>
      <w:r w:rsidRPr="00750422">
        <w:rPr>
          <w:color w:val="000000" w:themeColor="text1"/>
          <w:lang w:val="et-EE"/>
        </w:rPr>
        <w:t xml:space="preserve"> hinnatakse </w:t>
      </w:r>
      <w:r w:rsidR="2B6EEDE2" w:rsidRPr="00750422">
        <w:rPr>
          <w:color w:val="000000" w:themeColor="text1"/>
          <w:lang w:val="et-EE"/>
        </w:rPr>
        <w:t xml:space="preserve">ühe </w:t>
      </w:r>
      <w:r w:rsidR="7D976B53" w:rsidRPr="00750422">
        <w:rPr>
          <w:color w:val="000000" w:themeColor="text1"/>
          <w:lang w:val="et-EE"/>
        </w:rPr>
        <w:t>tervikuna</w:t>
      </w:r>
      <w:r w:rsidRPr="00750422">
        <w:rPr>
          <w:color w:val="000000" w:themeColor="text1"/>
          <w:lang w:val="et-EE"/>
        </w:rPr>
        <w:t>,</w:t>
      </w:r>
      <w:r w:rsidR="6670ADF0" w:rsidRPr="00750422">
        <w:rPr>
          <w:color w:val="000000" w:themeColor="text1"/>
          <w:lang w:val="et-EE"/>
        </w:rPr>
        <w:t xml:space="preserve"> hinnatakse tegevuse eesmärgipärasust, tulemuslikkust ja tõhusust.</w:t>
      </w:r>
      <w:r w:rsidR="1AF91642" w:rsidRPr="00750422">
        <w:rPr>
          <w:color w:val="000000" w:themeColor="text1"/>
          <w:lang w:val="et-EE"/>
        </w:rPr>
        <w:t xml:space="preserve"> </w:t>
      </w:r>
      <w:r w:rsidR="0DB6108D" w:rsidRPr="00750422">
        <w:rPr>
          <w:color w:val="000000" w:themeColor="text1"/>
          <w:lang w:val="et-EE"/>
        </w:rPr>
        <w:t xml:space="preserve">Hindamine ostetakse sisse </w:t>
      </w:r>
      <w:proofErr w:type="spellStart"/>
      <w:r w:rsidR="0DB6108D" w:rsidRPr="00750422">
        <w:rPr>
          <w:color w:val="000000" w:themeColor="text1"/>
          <w:lang w:val="et-EE"/>
        </w:rPr>
        <w:t>teenusena.</w:t>
      </w:r>
      <w:r w:rsidR="2CAA963F" w:rsidRPr="00750422">
        <w:rPr>
          <w:lang w:val="et-EE"/>
        </w:rPr>
        <w:t>Hindamise</w:t>
      </w:r>
      <w:proofErr w:type="spellEnd"/>
      <w:r w:rsidR="2CAA963F" w:rsidRPr="00750422">
        <w:rPr>
          <w:lang w:val="et-EE"/>
        </w:rPr>
        <w:t xml:space="preserve"> kuluks on planeeritud </w:t>
      </w:r>
      <w:r w:rsidR="40F52100" w:rsidRPr="00750422">
        <w:rPr>
          <w:b/>
          <w:bCs/>
          <w:lang w:val="et-EE"/>
        </w:rPr>
        <w:t>2000 €</w:t>
      </w:r>
      <w:r w:rsidR="2A7E71AB" w:rsidRPr="00750422">
        <w:rPr>
          <w:b/>
          <w:bCs/>
          <w:lang w:val="et-EE"/>
        </w:rPr>
        <w:t>.</w:t>
      </w:r>
    </w:p>
    <w:p w14:paraId="1CB4BB2D" w14:textId="0C615B1C" w:rsidR="004A36C8" w:rsidRPr="00750422" w:rsidRDefault="00C44CA1" w:rsidP="586471C7">
      <w:pPr>
        <w:spacing w:after="0" w:line="259" w:lineRule="auto"/>
        <w:ind w:left="0" w:firstLine="0"/>
        <w:jc w:val="left"/>
        <w:rPr>
          <w:lang w:val="et-EE"/>
        </w:rPr>
      </w:pPr>
      <w:r w:rsidRPr="00750422">
        <w:rPr>
          <w:color w:val="000000" w:themeColor="text1"/>
          <w:lang w:val="et-EE"/>
        </w:rPr>
        <w:t xml:space="preserve"> </w:t>
      </w:r>
    </w:p>
    <w:p w14:paraId="5C7D6013" w14:textId="560B9F02" w:rsidR="004A36C8" w:rsidRPr="00750422" w:rsidRDefault="00C44CA1" w:rsidP="586471C7">
      <w:pPr>
        <w:spacing w:after="0" w:line="259" w:lineRule="auto"/>
        <w:ind w:left="-5"/>
        <w:jc w:val="left"/>
        <w:rPr>
          <w:lang w:val="et-EE"/>
        </w:rPr>
      </w:pPr>
      <w:r w:rsidRPr="00750422">
        <w:rPr>
          <w:b/>
          <w:bCs/>
          <w:lang w:val="et-EE"/>
        </w:rPr>
        <w:t xml:space="preserve">1.2.2 Noortele suunatud teadlikkust tõstvate kohtumiste ja sündmuste korraldamine </w:t>
      </w:r>
      <w:r w:rsidR="653980A6" w:rsidRPr="00750422">
        <w:rPr>
          <w:lang w:val="et-EE"/>
        </w:rPr>
        <w:t>(eelarve tabeli rida 3.1).</w:t>
      </w:r>
    </w:p>
    <w:p w14:paraId="57CFCFCF" w14:textId="0A9B02F4" w:rsidR="7C7F9B5C" w:rsidRPr="00750422" w:rsidRDefault="7C7F9B5C" w:rsidP="586471C7">
      <w:pPr>
        <w:spacing w:line="240" w:lineRule="auto"/>
        <w:ind w:left="-5" w:right="8"/>
        <w:jc w:val="left"/>
        <w:rPr>
          <w:lang w:val="et-EE"/>
        </w:rPr>
      </w:pPr>
    </w:p>
    <w:p w14:paraId="2F0F1B01" w14:textId="259C3F94" w:rsidR="004A36C8" w:rsidRPr="00750422" w:rsidRDefault="75196536" w:rsidP="586471C7">
      <w:pPr>
        <w:spacing w:after="0" w:line="240" w:lineRule="auto"/>
        <w:ind w:left="-5" w:right="8"/>
        <w:jc w:val="left"/>
        <w:rPr>
          <w:lang w:val="et-EE"/>
        </w:rPr>
      </w:pPr>
      <w:r w:rsidRPr="00750422">
        <w:rPr>
          <w:lang w:val="et-EE"/>
        </w:rPr>
        <w:t xml:space="preserve">Noortele suunatud teadlikkust tõstvate kohtumiste ja sündmuste korraldamise </w:t>
      </w:r>
      <w:r w:rsidR="170DFAC5" w:rsidRPr="00750422">
        <w:rPr>
          <w:lang w:val="et-EE"/>
        </w:rPr>
        <w:t>kulu on planeeritud</w:t>
      </w:r>
      <w:r w:rsidR="170DFAC5" w:rsidRPr="00750422">
        <w:rPr>
          <w:b/>
          <w:bCs/>
          <w:lang w:val="et-EE"/>
        </w:rPr>
        <w:t xml:space="preserve"> </w:t>
      </w:r>
      <w:r w:rsidR="5A9E7C36" w:rsidRPr="00750422">
        <w:rPr>
          <w:b/>
          <w:bCs/>
          <w:lang w:val="et-EE"/>
        </w:rPr>
        <w:t>65</w:t>
      </w:r>
      <w:r w:rsidR="170DFAC5" w:rsidRPr="00750422">
        <w:rPr>
          <w:b/>
          <w:bCs/>
          <w:lang w:val="et-EE"/>
        </w:rPr>
        <w:t xml:space="preserve"> 000 eurot</w:t>
      </w:r>
      <w:r w:rsidR="170DFAC5" w:rsidRPr="00750422">
        <w:rPr>
          <w:lang w:val="et-EE"/>
        </w:rPr>
        <w:t>, mis jagunemine on toodud järgnevatel eelarveridadel.</w:t>
      </w:r>
    </w:p>
    <w:p w14:paraId="50DB919E" w14:textId="354E5FCA" w:rsidR="004A36C8" w:rsidRPr="00750422" w:rsidRDefault="004A36C8" w:rsidP="586471C7">
      <w:pPr>
        <w:spacing w:after="0" w:line="259" w:lineRule="auto"/>
        <w:ind w:left="0" w:firstLine="0"/>
        <w:jc w:val="left"/>
        <w:rPr>
          <w:b/>
          <w:bCs/>
          <w:lang w:val="et-EE"/>
        </w:rPr>
      </w:pPr>
    </w:p>
    <w:p w14:paraId="126E36A3" w14:textId="77777777" w:rsidR="004A36C8" w:rsidRPr="00750422" w:rsidRDefault="00C44CA1" w:rsidP="586471C7">
      <w:pPr>
        <w:spacing w:after="0" w:line="259" w:lineRule="auto"/>
        <w:ind w:left="-5"/>
        <w:jc w:val="left"/>
        <w:rPr>
          <w:lang w:val="da-DK"/>
        </w:rPr>
      </w:pPr>
      <w:r w:rsidRPr="00750422">
        <w:rPr>
          <w:b/>
          <w:bCs/>
          <w:lang w:val="da-DK"/>
        </w:rPr>
        <w:t>1.2.2.1 Noortele suunatud kohtumiste ja sündmuste ning teavitustegevuste ette valmistamine</w:t>
      </w:r>
      <w:r w:rsidRPr="00750422">
        <w:rPr>
          <w:lang w:val="da-DK"/>
        </w:rPr>
        <w:t xml:space="preserve"> (eelarve tabeli rida 3.1.1).  </w:t>
      </w:r>
    </w:p>
    <w:p w14:paraId="2932D5B2" w14:textId="77777777" w:rsidR="004A36C8" w:rsidRPr="00750422" w:rsidRDefault="00C44CA1" w:rsidP="586471C7">
      <w:pPr>
        <w:spacing w:after="0" w:line="259" w:lineRule="auto"/>
        <w:ind w:left="0" w:firstLine="0"/>
        <w:jc w:val="left"/>
        <w:rPr>
          <w:lang w:val="da-DK"/>
        </w:rPr>
      </w:pPr>
      <w:r w:rsidRPr="00750422">
        <w:rPr>
          <w:lang w:val="da-DK"/>
        </w:rPr>
        <w:t xml:space="preserve"> </w:t>
      </w:r>
    </w:p>
    <w:p w14:paraId="42ACB108" w14:textId="2B609C7F" w:rsidR="004A36C8" w:rsidRPr="00750422" w:rsidRDefault="00C44CA1" w:rsidP="5FE57C4F">
      <w:pPr>
        <w:spacing w:before="240" w:after="240" w:line="240" w:lineRule="auto"/>
        <w:rPr>
          <w:color w:val="000000" w:themeColor="text1"/>
          <w:lang w:val="et-EE"/>
        </w:rPr>
      </w:pPr>
      <w:r w:rsidRPr="00750422">
        <w:rPr>
          <w:lang w:val="da-DK"/>
        </w:rPr>
        <w:t>Kohtumiste ja sündmuste ning teavitustegevuste ettevalmistamiseks (näiteks sündmuse infovoldikute koostamine, tõlketeenus, kujundamine, toimetamine vms) on planeeritud</w:t>
      </w:r>
      <w:r w:rsidRPr="00750422">
        <w:rPr>
          <w:b/>
          <w:bCs/>
          <w:lang w:val="da-DK"/>
        </w:rPr>
        <w:t xml:space="preserve"> </w:t>
      </w:r>
      <w:r w:rsidR="0029115A" w:rsidRPr="00750422">
        <w:rPr>
          <w:b/>
          <w:bCs/>
          <w:lang w:val="da-DK"/>
        </w:rPr>
        <w:t>10000</w:t>
      </w:r>
      <w:r w:rsidRPr="00750422">
        <w:rPr>
          <w:b/>
          <w:bCs/>
          <w:lang w:val="da-DK"/>
        </w:rPr>
        <w:t xml:space="preserve"> </w:t>
      </w:r>
      <w:r w:rsidR="0029115A" w:rsidRPr="00750422">
        <w:rPr>
          <w:b/>
          <w:bCs/>
          <w:lang w:val="da-DK"/>
        </w:rPr>
        <w:t xml:space="preserve">€, </w:t>
      </w:r>
      <w:r w:rsidR="0029115A" w:rsidRPr="00750422">
        <w:rPr>
          <w:lang w:val="da-DK"/>
        </w:rPr>
        <w:t xml:space="preserve">millega </w:t>
      </w:r>
      <w:r w:rsidR="6AF07F84" w:rsidRPr="00750422">
        <w:rPr>
          <w:lang w:val="da-DK"/>
        </w:rPr>
        <w:t xml:space="preserve">korraldatakse Tallinn Music Week noorte vabatahtlike programm 2026 ja </w:t>
      </w:r>
      <w:r w:rsidR="0029115A" w:rsidRPr="00750422">
        <w:rPr>
          <w:lang w:val="da-DK"/>
        </w:rPr>
        <w:t xml:space="preserve">valmistatakse </w:t>
      </w:r>
      <w:r w:rsidR="5EFE2E3A" w:rsidRPr="00750422">
        <w:rPr>
          <w:lang w:val="da-DK"/>
        </w:rPr>
        <w:t xml:space="preserve">lühidokumentaalfilm </w:t>
      </w:r>
      <w:r w:rsidR="0029115A" w:rsidRPr="00750422">
        <w:rPr>
          <w:lang w:val="da-DK"/>
        </w:rPr>
        <w:t>Tallinn Music Week</w:t>
      </w:r>
      <w:r w:rsidR="64F08045" w:rsidRPr="00750422">
        <w:rPr>
          <w:lang w:val="da-DK"/>
        </w:rPr>
        <w:t xml:space="preserve"> (edaspidi TMW)</w:t>
      </w:r>
      <w:r w:rsidR="0029115A" w:rsidRPr="00750422">
        <w:rPr>
          <w:lang w:val="da-DK"/>
        </w:rPr>
        <w:t xml:space="preserve"> vabatahtlike noorteprogrammist</w:t>
      </w:r>
      <w:r w:rsidR="00B33345" w:rsidRPr="00750422">
        <w:rPr>
          <w:lang w:val="da-DK"/>
        </w:rPr>
        <w:t xml:space="preserve">. </w:t>
      </w:r>
      <w:r w:rsidR="0F1E9130" w:rsidRPr="5FE57C4F">
        <w:rPr>
          <w:color w:val="000000" w:themeColor="text1"/>
          <w:lang w:val="et-EE"/>
        </w:rPr>
        <w:t>TMW korraldab koostöös elluviijaga vabatahtlike programmi sisulise ja korraldusliku poole ning katab osaliselt esinejate ja sündmuse programmiga seotud kulud. Projekti kaudu toetatakse noorte osalemist vabatahtlike programmis nende tegeliku osalemisega seotud abikõlblike kulude kaudu, sealhulgas noorte toitlustus-, transpordi- ja muud otsesed osalemiskulud vastavalt tegevussuuna abikõlblikkuse tingimustele. See loob eeldused, et noorte osalemine ei sõltuks nende majanduslikust taustast ning oleks ligipääsetav võimalikult laiale sihtrühmale.</w:t>
      </w:r>
    </w:p>
    <w:p w14:paraId="32535D8E" w14:textId="5D7EFDA2" w:rsidR="004A36C8" w:rsidRPr="00750422" w:rsidRDefault="0F1E9130" w:rsidP="5FE57C4F">
      <w:pPr>
        <w:spacing w:before="240" w:after="240" w:line="240" w:lineRule="auto"/>
        <w:rPr>
          <w:color w:val="000000" w:themeColor="text1"/>
          <w:lang w:val="et-EE"/>
        </w:rPr>
      </w:pPr>
      <w:r w:rsidRPr="5FE57C4F">
        <w:rPr>
          <w:color w:val="000000" w:themeColor="text1"/>
          <w:lang w:val="et-EE"/>
        </w:rPr>
        <w:lastRenderedPageBreak/>
        <w:t xml:space="preserve">TMW vabatahtlike </w:t>
      </w:r>
      <w:proofErr w:type="spellStart"/>
      <w:r w:rsidRPr="5FE57C4F">
        <w:rPr>
          <w:color w:val="000000" w:themeColor="text1"/>
          <w:lang w:val="et-EE"/>
        </w:rPr>
        <w:t>noorteprogrammi</w:t>
      </w:r>
      <w:proofErr w:type="spellEnd"/>
      <w:r w:rsidRPr="5FE57C4F">
        <w:rPr>
          <w:color w:val="000000" w:themeColor="text1"/>
          <w:lang w:val="et-EE"/>
        </w:rPr>
        <w:t xml:space="preserve"> ülesehitus hõlmab vabatahtlike ettevalmistamist, juhendamist, praktilist osalemist ja </w:t>
      </w:r>
      <w:proofErr w:type="spellStart"/>
      <w:r w:rsidRPr="5FE57C4F">
        <w:rPr>
          <w:color w:val="000000" w:themeColor="text1"/>
          <w:lang w:val="et-EE"/>
        </w:rPr>
        <w:t>järelrefleksiooni</w:t>
      </w:r>
      <w:proofErr w:type="spellEnd"/>
      <w:r w:rsidRPr="5FE57C4F">
        <w:rPr>
          <w:color w:val="000000" w:themeColor="text1"/>
          <w:lang w:val="et-EE"/>
        </w:rPr>
        <w:t xml:space="preserve">, pakkudes noortele kogemust, kus nad on samaaegselt õppijad ja aktiivsed </w:t>
      </w:r>
      <w:proofErr w:type="spellStart"/>
      <w:r w:rsidRPr="5FE57C4F">
        <w:rPr>
          <w:color w:val="000000" w:themeColor="text1"/>
          <w:lang w:val="et-EE"/>
        </w:rPr>
        <w:t>panustajad</w:t>
      </w:r>
      <w:proofErr w:type="spellEnd"/>
      <w:r w:rsidRPr="5FE57C4F">
        <w:rPr>
          <w:color w:val="000000" w:themeColor="text1"/>
          <w:lang w:val="et-EE"/>
        </w:rPr>
        <w:t>. See aitab tugevdada noorte suutlikkust tegutseda kodanikuühiskonnas ning loob struktuuri, mille kaudu noored mõistavad oma rolli laiemas ühiskondlikus kontekstis.</w:t>
      </w:r>
    </w:p>
    <w:p w14:paraId="446B9D00" w14:textId="21A72D9C" w:rsidR="004A36C8" w:rsidRPr="00750422" w:rsidRDefault="0F1E9130" w:rsidP="5FE57C4F">
      <w:pPr>
        <w:spacing w:before="240" w:after="240" w:line="240" w:lineRule="auto"/>
        <w:ind w:left="0"/>
        <w:rPr>
          <w:color w:val="000000" w:themeColor="text1"/>
          <w:lang w:val="sv-SE"/>
        </w:rPr>
      </w:pPr>
      <w:r w:rsidRPr="5FE57C4F">
        <w:rPr>
          <w:color w:val="000000" w:themeColor="text1"/>
          <w:lang w:val="et-EE"/>
        </w:rPr>
        <w:t xml:space="preserve">2026. aastal on kavandatud TMW vabatahtlike </w:t>
      </w:r>
      <w:proofErr w:type="spellStart"/>
      <w:r w:rsidRPr="5FE57C4F">
        <w:rPr>
          <w:color w:val="000000" w:themeColor="text1"/>
          <w:lang w:val="et-EE"/>
        </w:rPr>
        <w:t>noorteprogrammis</w:t>
      </w:r>
      <w:proofErr w:type="spellEnd"/>
      <w:r w:rsidRPr="5FE57C4F">
        <w:rPr>
          <w:color w:val="000000" w:themeColor="text1"/>
          <w:lang w:val="et-EE"/>
        </w:rPr>
        <w:t xml:space="preserve"> osalenud noorte kogemuste ja õpikogemuste süstemaatiline kogumine. Kogutakse noorte motivatsiooni, rollide, sisulise panuse ning omandatud oskuste ja hoiakute kirjeldusi. Andmete kogumine toimub intervjuude ja osalusvaatluste kaudu ning koondatakse lühidokumentaalfilmi, mille fookuses on noorte endi kogemus ja mentorite hinnangud kaasamise kvaliteedile. Tegevus on kooskõlas </w:t>
      </w:r>
      <w:proofErr w:type="spellStart"/>
      <w:r w:rsidRPr="5FE57C4F">
        <w:rPr>
          <w:color w:val="000000" w:themeColor="text1"/>
          <w:lang w:val="et-EE"/>
        </w:rPr>
        <w:t>TAT-i</w:t>
      </w:r>
      <w:proofErr w:type="spellEnd"/>
      <w:r w:rsidRPr="5FE57C4F">
        <w:rPr>
          <w:color w:val="000000" w:themeColor="text1"/>
          <w:lang w:val="et-EE"/>
        </w:rPr>
        <w:t xml:space="preserve"> punktiga 8.2.12 ning punktiga 10.1, mis käsitlevad andmete kogumist, analüüsi ja tegevuste mõju hindamist.</w:t>
      </w:r>
    </w:p>
    <w:p w14:paraId="0A75F248" w14:textId="4E436E9D" w:rsidR="004A36C8" w:rsidRPr="00750422" w:rsidRDefault="0F1E9130" w:rsidP="5FE57C4F">
      <w:pPr>
        <w:spacing w:before="240" w:after="240" w:line="240" w:lineRule="auto"/>
        <w:rPr>
          <w:color w:val="000000" w:themeColor="text1"/>
          <w:lang w:val="et-EE"/>
        </w:rPr>
      </w:pPr>
      <w:r w:rsidRPr="5FE57C4F">
        <w:rPr>
          <w:color w:val="000000" w:themeColor="text1"/>
          <w:lang w:val="et-EE"/>
        </w:rPr>
        <w:t xml:space="preserve">Analüüsi eesmärk on hinnata noorte osaluspraktikate tugevusi, kitsaskohti ja mõju ning teha järeldusi selle kohta, millised tegurid toetavad sisulist ja kestlikku noorte kaasamist. Dokumenteeritud materjali kasutatakse </w:t>
      </w:r>
      <w:proofErr w:type="spellStart"/>
      <w:r w:rsidRPr="5FE57C4F">
        <w:rPr>
          <w:color w:val="000000" w:themeColor="text1"/>
          <w:lang w:val="et-EE"/>
        </w:rPr>
        <w:t>VABAKi</w:t>
      </w:r>
      <w:proofErr w:type="spellEnd"/>
      <w:r w:rsidRPr="5FE57C4F">
        <w:rPr>
          <w:color w:val="000000" w:themeColor="text1"/>
          <w:lang w:val="et-EE"/>
        </w:rPr>
        <w:t xml:space="preserve"> tööriistakasti näidete panga täiendamiseks, kus see seotakse kogukonnapraktika ja teiste noorte kaasamise tööriistadega. Sel moel muutub TMW vabatahtlike programm osaks laiemast õppematerjalist, mida saavad edaspidi kasutada vabaühendused ja omavalitsused üle Eesti.</w:t>
      </w:r>
    </w:p>
    <w:p w14:paraId="1E3CD646" w14:textId="777D24B7" w:rsidR="004A36C8" w:rsidRPr="00750422" w:rsidRDefault="00C44CA1" w:rsidP="586471C7">
      <w:pPr>
        <w:ind w:left="-5" w:right="8"/>
        <w:rPr>
          <w:lang w:val="et-EE"/>
        </w:rPr>
      </w:pPr>
      <w:r w:rsidRPr="00750422">
        <w:rPr>
          <w:b/>
          <w:bCs/>
          <w:lang w:val="et-EE"/>
        </w:rPr>
        <w:t xml:space="preserve"> </w:t>
      </w:r>
    </w:p>
    <w:p w14:paraId="1EF4EF48" w14:textId="77777777" w:rsidR="004A36C8" w:rsidRPr="00750422" w:rsidRDefault="00C44CA1" w:rsidP="586471C7">
      <w:pPr>
        <w:spacing w:after="0" w:line="259" w:lineRule="auto"/>
        <w:ind w:left="0" w:firstLine="0"/>
        <w:jc w:val="left"/>
        <w:rPr>
          <w:lang w:val="et-EE"/>
        </w:rPr>
      </w:pPr>
      <w:r w:rsidRPr="00750422">
        <w:rPr>
          <w:lang w:val="et-EE"/>
        </w:rPr>
        <w:t xml:space="preserve"> </w:t>
      </w:r>
    </w:p>
    <w:p w14:paraId="358C6B4F" w14:textId="77777777" w:rsidR="004A36C8" w:rsidRPr="00750422" w:rsidRDefault="00C44CA1" w:rsidP="586471C7">
      <w:pPr>
        <w:spacing w:after="0" w:line="259" w:lineRule="auto"/>
        <w:ind w:left="-5"/>
        <w:jc w:val="left"/>
        <w:rPr>
          <w:lang w:val="et-EE"/>
        </w:rPr>
      </w:pPr>
      <w:r w:rsidRPr="00750422">
        <w:rPr>
          <w:b/>
          <w:bCs/>
          <w:lang w:val="et-EE"/>
        </w:rPr>
        <w:t>1.2.2.2 Noortele suunatud kohtumiste ja sündmuste ning teavitustegevuste läbi viimine ja korraldamine</w:t>
      </w:r>
      <w:r w:rsidRPr="00750422">
        <w:rPr>
          <w:lang w:val="et-EE"/>
        </w:rPr>
        <w:t xml:space="preserve"> (eelarve tabeli rida 3.1.2).  </w:t>
      </w:r>
    </w:p>
    <w:p w14:paraId="66FD7A7B" w14:textId="77777777" w:rsidR="004A36C8" w:rsidRPr="00750422" w:rsidRDefault="00C44CA1" w:rsidP="586471C7">
      <w:pPr>
        <w:spacing w:after="0" w:line="259" w:lineRule="auto"/>
        <w:ind w:left="0" w:firstLine="0"/>
        <w:jc w:val="left"/>
        <w:rPr>
          <w:lang w:val="et-EE"/>
        </w:rPr>
      </w:pPr>
      <w:r w:rsidRPr="00750422">
        <w:rPr>
          <w:lang w:val="et-EE"/>
        </w:rPr>
        <w:t xml:space="preserve"> </w:t>
      </w:r>
    </w:p>
    <w:p w14:paraId="2550B726" w14:textId="551A9412" w:rsidR="004A36C8" w:rsidRPr="00750422" w:rsidRDefault="00C44CA1" w:rsidP="586471C7">
      <w:pPr>
        <w:ind w:left="-5" w:right="8"/>
        <w:rPr>
          <w:lang w:val="et-EE"/>
        </w:rPr>
      </w:pPr>
      <w:r w:rsidRPr="00750422">
        <w:rPr>
          <w:lang w:val="et-EE"/>
        </w:rPr>
        <w:t>202</w:t>
      </w:r>
      <w:r w:rsidR="00B33345" w:rsidRPr="00750422">
        <w:rPr>
          <w:lang w:val="et-EE"/>
        </w:rPr>
        <w:t>6</w:t>
      </w:r>
      <w:r w:rsidRPr="00750422">
        <w:rPr>
          <w:lang w:val="et-EE"/>
        </w:rPr>
        <w:t xml:space="preserve">. aastaks on planeeritud 20 noortele suunatud kohtumist või sündmust kogumaksumusega </w:t>
      </w:r>
      <w:r w:rsidR="15505C8D" w:rsidRPr="00750422">
        <w:rPr>
          <w:b/>
          <w:bCs/>
          <w:lang w:val="et-EE"/>
        </w:rPr>
        <w:t>55 000</w:t>
      </w:r>
      <w:r w:rsidRPr="00750422">
        <w:rPr>
          <w:b/>
          <w:bCs/>
          <w:lang w:val="et-EE"/>
        </w:rPr>
        <w:t xml:space="preserve"> eurot</w:t>
      </w:r>
      <w:r w:rsidRPr="00750422">
        <w:rPr>
          <w:lang w:val="et-EE"/>
        </w:rPr>
        <w:t>. Tegevuse sisu selgub 202</w:t>
      </w:r>
      <w:r w:rsidR="00B33345" w:rsidRPr="00750422">
        <w:rPr>
          <w:lang w:val="et-EE"/>
        </w:rPr>
        <w:t>6</w:t>
      </w:r>
      <w:r w:rsidRPr="00750422">
        <w:rPr>
          <w:lang w:val="et-EE"/>
        </w:rPr>
        <w:t xml:space="preserve">. aasta I pooles. </w:t>
      </w:r>
    </w:p>
    <w:p w14:paraId="248EE6F3" w14:textId="5A3E8405" w:rsidR="004A36C8" w:rsidRPr="00750422" w:rsidRDefault="00C44CA1" w:rsidP="586471C7">
      <w:pPr>
        <w:ind w:left="-5" w:right="8"/>
        <w:rPr>
          <w:lang w:val="et-EE"/>
        </w:rPr>
      </w:pPr>
      <w:r w:rsidRPr="00750422">
        <w:rPr>
          <w:lang w:val="et-EE"/>
        </w:rPr>
        <w:t>Kohtumiste ja sündmuste läbi viimise kuludeks on näiteks moderaatorite, esinejate ja noori toetavate mentorite vms kulu; transpordi-,</w:t>
      </w:r>
      <w:r w:rsidR="6B0A2F30" w:rsidRPr="00750422">
        <w:rPr>
          <w:lang w:val="et-EE"/>
        </w:rPr>
        <w:t xml:space="preserve"> majutus-,</w:t>
      </w:r>
      <w:r w:rsidRPr="00750422">
        <w:rPr>
          <w:lang w:val="et-EE"/>
        </w:rPr>
        <w:t xml:space="preserve"> toitlustus- ja seminariruumide rendi kulu; sündmuste korralduseks tarvilike vahendite ja lahenduste (näiteks heli-, valgustus- ja esitlustehnika, sh tehniku teenus vms) kulud ning teavituskulu (näiteks plakatite, flaierite vms kujundamise ja trükkimise kulu, reklaamikulu meediakanalites). </w:t>
      </w:r>
    </w:p>
    <w:p w14:paraId="193ED052" w14:textId="77777777" w:rsidR="004A36C8" w:rsidRPr="00750422" w:rsidRDefault="00C44CA1" w:rsidP="586471C7">
      <w:pPr>
        <w:spacing w:after="0" w:line="259" w:lineRule="auto"/>
        <w:ind w:left="0" w:firstLine="0"/>
        <w:jc w:val="left"/>
        <w:rPr>
          <w:lang w:val="et-EE"/>
        </w:rPr>
      </w:pPr>
      <w:r w:rsidRPr="00750422">
        <w:rPr>
          <w:lang w:val="et-EE"/>
        </w:rPr>
        <w:t xml:space="preserve"> </w:t>
      </w:r>
    </w:p>
    <w:p w14:paraId="19CA9DAD" w14:textId="77777777" w:rsidR="004A36C8" w:rsidRPr="00750422" w:rsidRDefault="00C44CA1" w:rsidP="586471C7">
      <w:pPr>
        <w:spacing w:after="0" w:line="259" w:lineRule="auto"/>
        <w:ind w:left="-5"/>
        <w:jc w:val="left"/>
        <w:rPr>
          <w:lang w:val="et-EE"/>
        </w:rPr>
      </w:pPr>
      <w:r w:rsidRPr="00750422">
        <w:rPr>
          <w:b/>
          <w:bCs/>
          <w:lang w:val="et-EE"/>
        </w:rPr>
        <w:t>1.2.2.3 Noortele suunatud kohtumiste ja sündmuste ning teavitustegevuste hindamine</w:t>
      </w:r>
      <w:r w:rsidRPr="00750422">
        <w:rPr>
          <w:lang w:val="et-EE"/>
        </w:rPr>
        <w:t xml:space="preserve"> </w:t>
      </w:r>
    </w:p>
    <w:p w14:paraId="0D0FBF0E" w14:textId="77777777" w:rsidR="004A36C8" w:rsidRPr="00750422" w:rsidRDefault="00C44CA1" w:rsidP="586471C7">
      <w:pPr>
        <w:spacing w:after="31"/>
        <w:ind w:left="-5" w:right="8"/>
        <w:rPr>
          <w:lang w:val="et-EE"/>
        </w:rPr>
      </w:pPr>
      <w:r w:rsidRPr="00750422">
        <w:rPr>
          <w:lang w:val="et-EE"/>
        </w:rPr>
        <w:t xml:space="preserve">(eelarve tabeli rida 3.1.3).  </w:t>
      </w:r>
    </w:p>
    <w:p w14:paraId="0DD7BEE5" w14:textId="207BCAED" w:rsidR="7C7F9B5C" w:rsidRPr="00750422" w:rsidRDefault="7C7F9B5C" w:rsidP="586471C7">
      <w:pPr>
        <w:spacing w:after="0" w:line="259" w:lineRule="auto"/>
        <w:ind w:left="0" w:firstLine="0"/>
        <w:jc w:val="left"/>
        <w:rPr>
          <w:color w:val="000000" w:themeColor="text1"/>
          <w:lang w:val="et-EE"/>
        </w:rPr>
      </w:pPr>
    </w:p>
    <w:p w14:paraId="2159CD80" w14:textId="4A7A471A" w:rsidR="5DFB05D5" w:rsidRPr="00750422" w:rsidRDefault="5DFB05D5" w:rsidP="586471C7">
      <w:pPr>
        <w:spacing w:after="0" w:line="259" w:lineRule="auto"/>
        <w:ind w:left="0" w:firstLine="0"/>
        <w:jc w:val="left"/>
        <w:rPr>
          <w:color w:val="000000" w:themeColor="text1"/>
          <w:lang w:val="et-EE"/>
        </w:rPr>
      </w:pPr>
      <w:r w:rsidRPr="00750422">
        <w:rPr>
          <w:color w:val="000000" w:themeColor="text1"/>
          <w:lang w:val="et-EE"/>
        </w:rPr>
        <w:t xml:space="preserve">Projekti tegevussuundade elluviimist ja mõju hinnatakse ühe tervikuna, kus hindaja muuhulgas toob välja nii edumeelsed momendid kui kitsaskohad. Hindajaks on valdkonna ekspert, kes ei ole projekti tegevusega muus mõttes seotud, tagades objektiivsuse. Hindaja vaatab üle kogu tegevuse projektiüleselt ja kujundab oma arvamuse saadud materjalide põhjal. Hindaja koostab iga aasta kohta, alates 2026-2028 raporti, mis avaldatakse KÜSK kodulehel. Kirjeldatud kulu kajastub eelarve tabeli real nr 2.1.3.  </w:t>
      </w:r>
      <w:r w:rsidRPr="00750422">
        <w:rPr>
          <w:lang w:val="et-EE"/>
        </w:rPr>
        <w:br/>
      </w:r>
    </w:p>
    <w:p w14:paraId="3551E978" w14:textId="77777777" w:rsidR="004A36C8" w:rsidRPr="00750422" w:rsidRDefault="00C44CA1" w:rsidP="586471C7">
      <w:pPr>
        <w:spacing w:after="136" w:line="259" w:lineRule="auto"/>
        <w:ind w:left="-5"/>
        <w:jc w:val="left"/>
        <w:rPr>
          <w:lang w:val="et-EE"/>
        </w:rPr>
      </w:pPr>
      <w:r w:rsidRPr="00750422">
        <w:rPr>
          <w:b/>
          <w:bCs/>
          <w:lang w:val="et-EE"/>
        </w:rPr>
        <w:t xml:space="preserve">1.3 Tegevuste otsese personalikulu horisontaalne kulukoht </w:t>
      </w:r>
      <w:r w:rsidRPr="00750422">
        <w:rPr>
          <w:lang w:val="et-EE"/>
        </w:rPr>
        <w:t xml:space="preserve">(eelarve tabeli rida 4.1) </w:t>
      </w:r>
    </w:p>
    <w:p w14:paraId="227675B7" w14:textId="55205B61" w:rsidR="004A36C8" w:rsidRPr="00750422" w:rsidRDefault="00C44CA1" w:rsidP="586471C7">
      <w:pPr>
        <w:ind w:left="-5" w:right="8"/>
        <w:rPr>
          <w:lang w:val="sv-SE"/>
        </w:rPr>
      </w:pPr>
      <w:proofErr w:type="spellStart"/>
      <w:r w:rsidRPr="5FE57C4F">
        <w:t>Personali</w:t>
      </w:r>
      <w:proofErr w:type="spellEnd"/>
      <w:r w:rsidRPr="5FE57C4F">
        <w:t xml:space="preserve"> </w:t>
      </w:r>
      <w:proofErr w:type="spellStart"/>
      <w:r w:rsidRPr="5FE57C4F">
        <w:t>palgakuludeks</w:t>
      </w:r>
      <w:proofErr w:type="spellEnd"/>
      <w:r w:rsidRPr="5FE57C4F">
        <w:t xml:space="preserve"> 202</w:t>
      </w:r>
      <w:r w:rsidR="00646046" w:rsidRPr="5FE57C4F">
        <w:t>6</w:t>
      </w:r>
      <w:r w:rsidRPr="5FE57C4F">
        <w:t xml:space="preserve">. </w:t>
      </w:r>
      <w:proofErr w:type="spellStart"/>
      <w:r w:rsidRPr="5FE57C4F">
        <w:t>aastal</w:t>
      </w:r>
      <w:proofErr w:type="spellEnd"/>
      <w:r w:rsidRPr="5FE57C4F">
        <w:t xml:space="preserve"> on </w:t>
      </w:r>
      <w:proofErr w:type="spellStart"/>
      <w:r w:rsidRPr="5FE57C4F">
        <w:t>planeeritud</w:t>
      </w:r>
      <w:proofErr w:type="spellEnd"/>
      <w:r w:rsidRPr="5FE57C4F">
        <w:t xml:space="preserve"> </w:t>
      </w:r>
      <w:r w:rsidR="00841388" w:rsidRPr="5FE57C4F">
        <w:rPr>
          <w:b/>
          <w:bCs/>
        </w:rPr>
        <w:t>78 863</w:t>
      </w:r>
      <w:r w:rsidR="7695FFC2" w:rsidRPr="5FE57C4F">
        <w:rPr>
          <w:b/>
          <w:bCs/>
        </w:rPr>
        <w:t xml:space="preserve"> </w:t>
      </w:r>
      <w:r w:rsidR="00841388" w:rsidRPr="5FE57C4F">
        <w:rPr>
          <w:b/>
          <w:bCs/>
        </w:rPr>
        <w:t>€</w:t>
      </w:r>
      <w:r w:rsidRPr="5FE57C4F">
        <w:t xml:space="preserve">. </w:t>
      </w:r>
      <w:r w:rsidRPr="00750422">
        <w:rPr>
          <w:lang w:val="sv-SE"/>
        </w:rPr>
        <w:t xml:space="preserve">Personali palgakulud sisaldavad projektijuhi ja projektispetsialisti tööjõukulu. </w:t>
      </w:r>
      <w:r w:rsidR="25C7B23B" w:rsidRPr="00750422">
        <w:rPr>
          <w:lang w:val="sv-SE"/>
        </w:rPr>
        <w:t>Sealhulgas p</w:t>
      </w:r>
      <w:r w:rsidRPr="00750422">
        <w:rPr>
          <w:lang w:val="sv-SE"/>
        </w:rPr>
        <w:t xml:space="preserve">rojektijuhi ja projektispetsialisti lähetus- ja transpordikuludeks on planeeritud  </w:t>
      </w:r>
      <w:r w:rsidR="00125698" w:rsidRPr="00750422">
        <w:rPr>
          <w:b/>
          <w:bCs/>
          <w:lang w:val="sv-SE"/>
        </w:rPr>
        <w:t>3</w:t>
      </w:r>
      <w:r w:rsidR="084D372C" w:rsidRPr="00750422">
        <w:rPr>
          <w:b/>
          <w:bCs/>
          <w:lang w:val="sv-SE"/>
        </w:rPr>
        <w:t xml:space="preserve"> </w:t>
      </w:r>
      <w:r w:rsidR="00125698" w:rsidRPr="00750422">
        <w:rPr>
          <w:b/>
          <w:bCs/>
          <w:lang w:val="sv-SE"/>
        </w:rPr>
        <w:t>400</w:t>
      </w:r>
      <w:r w:rsidR="4E03856E" w:rsidRPr="00750422">
        <w:rPr>
          <w:b/>
          <w:bCs/>
          <w:lang w:val="sv-SE"/>
        </w:rPr>
        <w:t xml:space="preserve"> </w:t>
      </w:r>
      <w:r w:rsidR="00125698" w:rsidRPr="00750422">
        <w:rPr>
          <w:b/>
          <w:bCs/>
          <w:lang w:val="sv-SE"/>
        </w:rPr>
        <w:t>€</w:t>
      </w:r>
      <w:r w:rsidRPr="00750422">
        <w:rPr>
          <w:lang w:val="sv-SE"/>
        </w:rPr>
        <w:t xml:space="preserve">. </w:t>
      </w:r>
    </w:p>
    <w:p w14:paraId="358EAE25" w14:textId="77777777" w:rsidR="004A36C8" w:rsidRPr="00750422" w:rsidRDefault="00C44CA1" w:rsidP="586471C7">
      <w:pPr>
        <w:spacing w:after="0" w:line="259" w:lineRule="auto"/>
        <w:ind w:left="0" w:firstLine="0"/>
        <w:jc w:val="left"/>
        <w:rPr>
          <w:lang w:val="sv-SE"/>
        </w:rPr>
      </w:pPr>
      <w:r w:rsidRPr="00750422">
        <w:rPr>
          <w:lang w:val="sv-SE"/>
        </w:rPr>
        <w:t xml:space="preserve"> </w:t>
      </w:r>
    </w:p>
    <w:p w14:paraId="3A1BEC13" w14:textId="46DD66FA" w:rsidR="004A36C8" w:rsidRPr="00750422" w:rsidRDefault="00C44CA1" w:rsidP="586471C7">
      <w:pPr>
        <w:spacing w:after="31"/>
        <w:ind w:left="-5" w:right="8"/>
        <w:rPr>
          <w:lang w:val="sv-SE"/>
        </w:rPr>
      </w:pPr>
      <w:r w:rsidRPr="00750422">
        <w:rPr>
          <w:b/>
          <w:bCs/>
          <w:lang w:val="sv-SE"/>
        </w:rPr>
        <w:t>1.4 Tegevuste kaudsed kulud</w:t>
      </w:r>
      <w:r w:rsidRPr="00750422">
        <w:rPr>
          <w:lang w:val="sv-SE"/>
        </w:rPr>
        <w:t xml:space="preserve"> on </w:t>
      </w:r>
      <w:r w:rsidR="3353DB5A" w:rsidRPr="00750422">
        <w:rPr>
          <w:b/>
          <w:bCs/>
          <w:lang w:val="sv-SE"/>
        </w:rPr>
        <w:t>2</w:t>
      </w:r>
      <w:r w:rsidR="645FADAC" w:rsidRPr="00750422">
        <w:rPr>
          <w:b/>
          <w:bCs/>
          <w:lang w:val="sv-SE"/>
        </w:rPr>
        <w:t>6</w:t>
      </w:r>
      <w:r w:rsidR="053EF3EF" w:rsidRPr="00750422">
        <w:rPr>
          <w:b/>
          <w:bCs/>
          <w:lang w:val="sv-SE"/>
        </w:rPr>
        <w:t xml:space="preserve"> </w:t>
      </w:r>
      <w:r w:rsidR="58DA1C46" w:rsidRPr="00750422">
        <w:rPr>
          <w:b/>
          <w:bCs/>
          <w:lang w:val="sv-SE"/>
        </w:rPr>
        <w:t>95</w:t>
      </w:r>
      <w:r w:rsidR="053EF3EF" w:rsidRPr="00750422">
        <w:rPr>
          <w:b/>
          <w:bCs/>
          <w:lang w:val="sv-SE"/>
        </w:rPr>
        <w:t>8</w:t>
      </w:r>
      <w:r w:rsidR="00185F54" w:rsidRPr="00750422">
        <w:rPr>
          <w:b/>
          <w:bCs/>
          <w:lang w:val="sv-SE"/>
        </w:rPr>
        <w:t>.</w:t>
      </w:r>
      <w:r w:rsidR="5FDF7191" w:rsidRPr="00750422">
        <w:rPr>
          <w:b/>
          <w:bCs/>
          <w:lang w:val="sv-SE"/>
        </w:rPr>
        <w:t>92</w:t>
      </w:r>
      <w:r w:rsidRPr="00750422">
        <w:rPr>
          <w:b/>
          <w:bCs/>
          <w:lang w:val="sv-SE"/>
        </w:rPr>
        <w:t xml:space="preserve"> </w:t>
      </w:r>
      <w:r w:rsidR="00185F54" w:rsidRPr="00750422">
        <w:rPr>
          <w:b/>
          <w:bCs/>
          <w:lang w:val="sv-SE"/>
        </w:rPr>
        <w:t>€</w:t>
      </w:r>
      <w:r w:rsidRPr="00750422">
        <w:rPr>
          <w:lang w:val="sv-SE"/>
        </w:rPr>
        <w:t xml:space="preserve"> (7% otsestest kuludest) (eelarve rida 5.1). </w:t>
      </w:r>
    </w:p>
    <w:p w14:paraId="5C3C5AA9" w14:textId="77777777" w:rsidR="004A36C8" w:rsidRPr="00750422" w:rsidRDefault="00C44CA1" w:rsidP="586471C7">
      <w:pPr>
        <w:spacing w:after="0" w:line="259" w:lineRule="auto"/>
        <w:ind w:left="0" w:firstLine="0"/>
        <w:jc w:val="left"/>
        <w:rPr>
          <w:lang w:val="sv-SE"/>
        </w:rPr>
      </w:pPr>
      <w:r w:rsidRPr="00750422">
        <w:rPr>
          <w:b/>
          <w:bCs/>
          <w:lang w:val="sv-SE"/>
        </w:rPr>
        <w:t xml:space="preserve"> </w:t>
      </w:r>
    </w:p>
    <w:p w14:paraId="4314EB5B" w14:textId="166FDB3F" w:rsidR="004A36C8" w:rsidRPr="00750422" w:rsidRDefault="00C44CA1" w:rsidP="00750422">
      <w:pPr>
        <w:ind w:left="-5" w:right="8"/>
        <w:rPr>
          <w:lang w:val="sv-SE"/>
        </w:rPr>
      </w:pPr>
      <w:r w:rsidRPr="00750422">
        <w:rPr>
          <w:b/>
          <w:bCs/>
          <w:lang w:val="sv-SE"/>
        </w:rPr>
        <w:t xml:space="preserve">Tegevuste elluviimiseks </w:t>
      </w:r>
      <w:r w:rsidRPr="00750422">
        <w:rPr>
          <w:lang w:val="sv-SE"/>
        </w:rPr>
        <w:t>202</w:t>
      </w:r>
      <w:r w:rsidR="00185F54" w:rsidRPr="00750422">
        <w:rPr>
          <w:lang w:val="sv-SE"/>
        </w:rPr>
        <w:t>6</w:t>
      </w:r>
      <w:r w:rsidRPr="00750422">
        <w:rPr>
          <w:lang w:val="sv-SE"/>
        </w:rPr>
        <w:t>. aastal kulub</w:t>
      </w:r>
      <w:r w:rsidRPr="00750422">
        <w:rPr>
          <w:b/>
          <w:bCs/>
          <w:lang w:val="sv-SE"/>
        </w:rPr>
        <w:t xml:space="preserve"> </w:t>
      </w:r>
      <w:r w:rsidR="1861EDB1" w:rsidRPr="00750422">
        <w:rPr>
          <w:b/>
          <w:bCs/>
          <w:lang w:val="sv-SE"/>
        </w:rPr>
        <w:t>4</w:t>
      </w:r>
      <w:r w:rsidR="7DB62A0A" w:rsidRPr="00750422">
        <w:rPr>
          <w:b/>
          <w:bCs/>
          <w:lang w:val="sv-SE"/>
        </w:rPr>
        <w:t>12 086</w:t>
      </w:r>
      <w:r w:rsidR="1861EDB1" w:rsidRPr="00750422">
        <w:rPr>
          <w:b/>
          <w:bCs/>
          <w:lang w:val="sv-SE"/>
        </w:rPr>
        <w:t xml:space="preserve">.28 </w:t>
      </w:r>
      <w:r w:rsidRPr="00750422">
        <w:rPr>
          <w:b/>
          <w:bCs/>
          <w:lang w:val="sv-SE"/>
        </w:rPr>
        <w:t xml:space="preserve">€, </w:t>
      </w:r>
      <w:r w:rsidRPr="00750422">
        <w:rPr>
          <w:lang w:val="sv-SE"/>
        </w:rPr>
        <w:t>millest</w:t>
      </w:r>
      <w:r w:rsidRPr="00750422">
        <w:rPr>
          <w:b/>
          <w:bCs/>
          <w:lang w:val="sv-SE"/>
        </w:rPr>
        <w:t xml:space="preserve">  </w:t>
      </w:r>
      <w:r w:rsidR="3928D0A2" w:rsidRPr="00750422">
        <w:rPr>
          <w:b/>
          <w:bCs/>
          <w:lang w:val="sv-SE"/>
        </w:rPr>
        <w:t>2</w:t>
      </w:r>
      <w:r w:rsidR="53C48663" w:rsidRPr="00750422">
        <w:rPr>
          <w:b/>
          <w:bCs/>
          <w:lang w:val="sv-SE"/>
        </w:rPr>
        <w:t>6 958</w:t>
      </w:r>
      <w:r w:rsidRPr="00750422">
        <w:rPr>
          <w:b/>
          <w:bCs/>
          <w:lang w:val="sv-SE"/>
        </w:rPr>
        <w:t>.</w:t>
      </w:r>
      <w:r w:rsidR="1586BBDD" w:rsidRPr="00750422">
        <w:rPr>
          <w:b/>
          <w:bCs/>
          <w:lang w:val="sv-SE"/>
        </w:rPr>
        <w:t>92</w:t>
      </w:r>
      <w:r w:rsidRPr="00750422">
        <w:rPr>
          <w:b/>
          <w:bCs/>
          <w:lang w:val="sv-SE"/>
        </w:rPr>
        <w:t xml:space="preserve">€ </w:t>
      </w:r>
      <w:r w:rsidRPr="00750422">
        <w:rPr>
          <w:lang w:val="sv-SE"/>
        </w:rPr>
        <w:t xml:space="preserve">on kaudsed kulud (7% otsestest kuludest). </w:t>
      </w:r>
    </w:p>
    <w:sectPr w:rsidR="004A36C8" w:rsidRPr="00750422">
      <w:footerReference w:type="even" r:id="rId10"/>
      <w:footerReference w:type="default" r:id="rId11"/>
      <w:footerReference w:type="first" r:id="rId12"/>
      <w:pgSz w:w="11910" w:h="16845"/>
      <w:pgMar w:top="915" w:right="1002" w:bottom="513" w:left="18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BE2C" w14:textId="77777777" w:rsidR="00CD0057" w:rsidRDefault="00CD0057">
      <w:pPr>
        <w:spacing w:after="0" w:line="240" w:lineRule="auto"/>
      </w:pPr>
      <w:r>
        <w:separator/>
      </w:r>
    </w:p>
  </w:endnote>
  <w:endnote w:type="continuationSeparator" w:id="0">
    <w:p w14:paraId="684B10C5" w14:textId="77777777" w:rsidR="00CD0057" w:rsidRDefault="00CD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4257" w14:textId="77777777" w:rsidR="004A36C8" w:rsidRDefault="00C44CA1">
    <w:pPr>
      <w:spacing w:after="0" w:line="259" w:lineRule="auto"/>
      <w:ind w:left="135" w:firstLine="0"/>
      <w:jc w:val="left"/>
    </w:pPr>
    <w:r>
      <w:fldChar w:fldCharType="begin"/>
    </w:r>
    <w:r>
      <w:instrText xml:space="preserve"> PAGE   \* MERGEFORMAT </w:instrText>
    </w:r>
    <w:r>
      <w:fldChar w:fldCharType="separate"/>
    </w:r>
    <w:r>
      <w:rPr>
        <w:sz w:val="20"/>
      </w:rPr>
      <w:t>2</w:t>
    </w:r>
    <w:r>
      <w:rPr>
        <w:sz w:val="20"/>
      </w:rPr>
      <w:fldChar w:fldCharType="end"/>
    </w:r>
    <w:r>
      <w:rPr>
        <w:sz w:val="20"/>
      </w:rPr>
      <w:t xml:space="preserve"> (</w:t>
    </w:r>
    <w:fldSimple w:instr=" NUMPAGES   \* MERGEFORMAT ">
      <w:r>
        <w:rPr>
          <w:sz w:val="20"/>
        </w:rPr>
        <w:t>4</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60C6" w14:textId="77777777" w:rsidR="004A36C8" w:rsidRDefault="00C44CA1">
    <w:pPr>
      <w:spacing w:after="0" w:line="259" w:lineRule="auto"/>
      <w:ind w:left="135" w:firstLine="0"/>
      <w:jc w:val="left"/>
    </w:pPr>
    <w:r>
      <w:fldChar w:fldCharType="begin"/>
    </w:r>
    <w:r>
      <w:instrText xml:space="preserve"> PAGE   \* MERGEFORMAT </w:instrText>
    </w:r>
    <w:r>
      <w:fldChar w:fldCharType="separate"/>
    </w:r>
    <w:r>
      <w:rPr>
        <w:sz w:val="20"/>
      </w:rPr>
      <w:t>2</w:t>
    </w:r>
    <w:r>
      <w:rPr>
        <w:sz w:val="20"/>
      </w:rPr>
      <w:fldChar w:fldCharType="end"/>
    </w:r>
    <w:r>
      <w:rPr>
        <w:sz w:val="20"/>
      </w:rPr>
      <w:t xml:space="preserve"> (</w:t>
    </w:r>
    <w:fldSimple w:instr=" NUMPAGES   \* MERGEFORMAT ">
      <w:r>
        <w:rPr>
          <w:sz w:val="20"/>
        </w:rPr>
        <w:t>4</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148A" w14:textId="77777777" w:rsidR="004A36C8" w:rsidRDefault="004A36C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A41C" w14:textId="77777777" w:rsidR="00CD0057" w:rsidRDefault="00CD0057">
      <w:pPr>
        <w:spacing w:after="0" w:line="240" w:lineRule="auto"/>
      </w:pPr>
      <w:r>
        <w:separator/>
      </w:r>
    </w:p>
  </w:footnote>
  <w:footnote w:type="continuationSeparator" w:id="0">
    <w:p w14:paraId="53E5467D" w14:textId="77777777" w:rsidR="00CD0057" w:rsidRDefault="00CD00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C8"/>
    <w:rsid w:val="00046643"/>
    <w:rsid w:val="0006526D"/>
    <w:rsid w:val="000A3BA1"/>
    <w:rsid w:val="000A477B"/>
    <w:rsid w:val="000E1B42"/>
    <w:rsid w:val="000F4B05"/>
    <w:rsid w:val="0010736F"/>
    <w:rsid w:val="00125698"/>
    <w:rsid w:val="00142B47"/>
    <w:rsid w:val="00167E8B"/>
    <w:rsid w:val="00185F54"/>
    <w:rsid w:val="001B20B9"/>
    <w:rsid w:val="001B31F5"/>
    <w:rsid w:val="001B33AD"/>
    <w:rsid w:val="001F472E"/>
    <w:rsid w:val="0024655C"/>
    <w:rsid w:val="0027062D"/>
    <w:rsid w:val="0028547C"/>
    <w:rsid w:val="0029115A"/>
    <w:rsid w:val="002C7B14"/>
    <w:rsid w:val="002F7A91"/>
    <w:rsid w:val="0031253B"/>
    <w:rsid w:val="00320946"/>
    <w:rsid w:val="00325B13"/>
    <w:rsid w:val="00335A18"/>
    <w:rsid w:val="003369D2"/>
    <w:rsid w:val="003728AF"/>
    <w:rsid w:val="00374334"/>
    <w:rsid w:val="003F5353"/>
    <w:rsid w:val="00411010"/>
    <w:rsid w:val="00417432"/>
    <w:rsid w:val="00432FCB"/>
    <w:rsid w:val="004A2740"/>
    <w:rsid w:val="004A36C8"/>
    <w:rsid w:val="004E603A"/>
    <w:rsid w:val="004F4209"/>
    <w:rsid w:val="005123D0"/>
    <w:rsid w:val="0054021C"/>
    <w:rsid w:val="00542680"/>
    <w:rsid w:val="0056374A"/>
    <w:rsid w:val="005704D0"/>
    <w:rsid w:val="005D1CBB"/>
    <w:rsid w:val="005D46BC"/>
    <w:rsid w:val="005D65D9"/>
    <w:rsid w:val="005F0882"/>
    <w:rsid w:val="00610C67"/>
    <w:rsid w:val="00611BF0"/>
    <w:rsid w:val="00623668"/>
    <w:rsid w:val="00630BCC"/>
    <w:rsid w:val="00646046"/>
    <w:rsid w:val="00671ABB"/>
    <w:rsid w:val="006C5EBB"/>
    <w:rsid w:val="006E0700"/>
    <w:rsid w:val="006E2C5D"/>
    <w:rsid w:val="00712083"/>
    <w:rsid w:val="00730B53"/>
    <w:rsid w:val="00750422"/>
    <w:rsid w:val="007620EE"/>
    <w:rsid w:val="00780863"/>
    <w:rsid w:val="007F4D8F"/>
    <w:rsid w:val="00832205"/>
    <w:rsid w:val="00841388"/>
    <w:rsid w:val="0084282A"/>
    <w:rsid w:val="008445FA"/>
    <w:rsid w:val="008700B0"/>
    <w:rsid w:val="0087228A"/>
    <w:rsid w:val="008933CB"/>
    <w:rsid w:val="008AA1EA"/>
    <w:rsid w:val="008C1172"/>
    <w:rsid w:val="008D225D"/>
    <w:rsid w:val="008D5BBD"/>
    <w:rsid w:val="008F1AFB"/>
    <w:rsid w:val="00900A70"/>
    <w:rsid w:val="0092644E"/>
    <w:rsid w:val="009734D2"/>
    <w:rsid w:val="009801A8"/>
    <w:rsid w:val="00992F96"/>
    <w:rsid w:val="00A072A6"/>
    <w:rsid w:val="00A656EE"/>
    <w:rsid w:val="00A7532B"/>
    <w:rsid w:val="00AB2C7F"/>
    <w:rsid w:val="00AE5C49"/>
    <w:rsid w:val="00AE6589"/>
    <w:rsid w:val="00B22B52"/>
    <w:rsid w:val="00B33345"/>
    <w:rsid w:val="00B36B81"/>
    <w:rsid w:val="00B40236"/>
    <w:rsid w:val="00B43866"/>
    <w:rsid w:val="00BA1C63"/>
    <w:rsid w:val="00BC000F"/>
    <w:rsid w:val="00BC3ECA"/>
    <w:rsid w:val="00BD3E8C"/>
    <w:rsid w:val="00BE3FDC"/>
    <w:rsid w:val="00C14D95"/>
    <w:rsid w:val="00C44CA1"/>
    <w:rsid w:val="00C63C02"/>
    <w:rsid w:val="00C93A5B"/>
    <w:rsid w:val="00CD0057"/>
    <w:rsid w:val="00D573F5"/>
    <w:rsid w:val="00D7140A"/>
    <w:rsid w:val="00D77C29"/>
    <w:rsid w:val="00D9120C"/>
    <w:rsid w:val="00D92589"/>
    <w:rsid w:val="00DB09EC"/>
    <w:rsid w:val="00E04B7E"/>
    <w:rsid w:val="00E24569"/>
    <w:rsid w:val="00E656C6"/>
    <w:rsid w:val="00EB574C"/>
    <w:rsid w:val="00EB69E8"/>
    <w:rsid w:val="00F00D59"/>
    <w:rsid w:val="00F248E4"/>
    <w:rsid w:val="00F8643E"/>
    <w:rsid w:val="00FB5912"/>
    <w:rsid w:val="01039E0F"/>
    <w:rsid w:val="014F6AE6"/>
    <w:rsid w:val="0164BE0C"/>
    <w:rsid w:val="0192D524"/>
    <w:rsid w:val="02178F99"/>
    <w:rsid w:val="02337950"/>
    <w:rsid w:val="02DC26B4"/>
    <w:rsid w:val="02E7C952"/>
    <w:rsid w:val="03779C24"/>
    <w:rsid w:val="03CBDA53"/>
    <w:rsid w:val="0460E65B"/>
    <w:rsid w:val="04B996CC"/>
    <w:rsid w:val="04E2A2F6"/>
    <w:rsid w:val="053EF3EF"/>
    <w:rsid w:val="0549798C"/>
    <w:rsid w:val="084D372C"/>
    <w:rsid w:val="08A19C81"/>
    <w:rsid w:val="08A2324B"/>
    <w:rsid w:val="08BF5A30"/>
    <w:rsid w:val="09147CE2"/>
    <w:rsid w:val="0A330EE9"/>
    <w:rsid w:val="0AD0B008"/>
    <w:rsid w:val="0AE9F091"/>
    <w:rsid w:val="0B3F322E"/>
    <w:rsid w:val="0B8011E5"/>
    <w:rsid w:val="0B923EC6"/>
    <w:rsid w:val="0BA56E1C"/>
    <w:rsid w:val="0BCCC24D"/>
    <w:rsid w:val="0D553B80"/>
    <w:rsid w:val="0DB6108D"/>
    <w:rsid w:val="0DF86FAF"/>
    <w:rsid w:val="0E159FFB"/>
    <w:rsid w:val="0E41AA96"/>
    <w:rsid w:val="0F1E9130"/>
    <w:rsid w:val="0FBDB0EA"/>
    <w:rsid w:val="11162997"/>
    <w:rsid w:val="12E726DF"/>
    <w:rsid w:val="145C1F1B"/>
    <w:rsid w:val="15505C8D"/>
    <w:rsid w:val="1586BBDD"/>
    <w:rsid w:val="1648A443"/>
    <w:rsid w:val="1679AACF"/>
    <w:rsid w:val="170B2225"/>
    <w:rsid w:val="170DFAC5"/>
    <w:rsid w:val="1781ED21"/>
    <w:rsid w:val="179CBACA"/>
    <w:rsid w:val="1861EDB1"/>
    <w:rsid w:val="1919F874"/>
    <w:rsid w:val="193473AE"/>
    <w:rsid w:val="19A3869A"/>
    <w:rsid w:val="19DB2BD5"/>
    <w:rsid w:val="1A997929"/>
    <w:rsid w:val="1AF91642"/>
    <w:rsid w:val="1BC4BC6F"/>
    <w:rsid w:val="1CEDA5F9"/>
    <w:rsid w:val="1D054A99"/>
    <w:rsid w:val="1D9E0332"/>
    <w:rsid w:val="1E93A4C2"/>
    <w:rsid w:val="1EA0EBE6"/>
    <w:rsid w:val="1F5FEDEA"/>
    <w:rsid w:val="1F7CD339"/>
    <w:rsid w:val="201DD384"/>
    <w:rsid w:val="20B1CDCC"/>
    <w:rsid w:val="2107054D"/>
    <w:rsid w:val="21D0D9E9"/>
    <w:rsid w:val="225866E6"/>
    <w:rsid w:val="22B31251"/>
    <w:rsid w:val="23725FEB"/>
    <w:rsid w:val="24D24248"/>
    <w:rsid w:val="24D63A24"/>
    <w:rsid w:val="24D9C000"/>
    <w:rsid w:val="25846AD4"/>
    <w:rsid w:val="25C7B23B"/>
    <w:rsid w:val="2641FB32"/>
    <w:rsid w:val="274CE594"/>
    <w:rsid w:val="2859E8DE"/>
    <w:rsid w:val="2A43E931"/>
    <w:rsid w:val="2A658792"/>
    <w:rsid w:val="2A7E71AB"/>
    <w:rsid w:val="2A96C7B2"/>
    <w:rsid w:val="2A9EED88"/>
    <w:rsid w:val="2AB486BC"/>
    <w:rsid w:val="2AE3A785"/>
    <w:rsid w:val="2B6EEDE2"/>
    <w:rsid w:val="2BBD86C9"/>
    <w:rsid w:val="2C2F036B"/>
    <w:rsid w:val="2C473962"/>
    <w:rsid w:val="2CAA963F"/>
    <w:rsid w:val="2CEFFB16"/>
    <w:rsid w:val="2E1A38B0"/>
    <w:rsid w:val="2F4AA90F"/>
    <w:rsid w:val="3101B446"/>
    <w:rsid w:val="31DDBE9A"/>
    <w:rsid w:val="32BAC990"/>
    <w:rsid w:val="3353DB5A"/>
    <w:rsid w:val="33DCF377"/>
    <w:rsid w:val="351D130F"/>
    <w:rsid w:val="36243738"/>
    <w:rsid w:val="36B4AA2C"/>
    <w:rsid w:val="36D3A451"/>
    <w:rsid w:val="3737047F"/>
    <w:rsid w:val="384936B9"/>
    <w:rsid w:val="387A462D"/>
    <w:rsid w:val="389B6B65"/>
    <w:rsid w:val="38A85794"/>
    <w:rsid w:val="3928D0A2"/>
    <w:rsid w:val="3985EBE1"/>
    <w:rsid w:val="3A020664"/>
    <w:rsid w:val="3A43709A"/>
    <w:rsid w:val="3A948312"/>
    <w:rsid w:val="3B73168B"/>
    <w:rsid w:val="3BA35057"/>
    <w:rsid w:val="3C4A7BDD"/>
    <w:rsid w:val="3D56D9FA"/>
    <w:rsid w:val="3D93F5CD"/>
    <w:rsid w:val="3D9903B8"/>
    <w:rsid w:val="3DA7D67E"/>
    <w:rsid w:val="3DCF9293"/>
    <w:rsid w:val="3DF1BFD4"/>
    <w:rsid w:val="3E18B755"/>
    <w:rsid w:val="3E9A2121"/>
    <w:rsid w:val="3EBB85FC"/>
    <w:rsid w:val="3F53A3C3"/>
    <w:rsid w:val="3F61CC69"/>
    <w:rsid w:val="3F7DCBF7"/>
    <w:rsid w:val="3FBD0B92"/>
    <w:rsid w:val="3FCD0298"/>
    <w:rsid w:val="40345F7C"/>
    <w:rsid w:val="407A8BB4"/>
    <w:rsid w:val="40F52100"/>
    <w:rsid w:val="42068D36"/>
    <w:rsid w:val="4206A636"/>
    <w:rsid w:val="42207655"/>
    <w:rsid w:val="425CBF6F"/>
    <w:rsid w:val="42E8F4DB"/>
    <w:rsid w:val="43729435"/>
    <w:rsid w:val="4463087F"/>
    <w:rsid w:val="45CB389A"/>
    <w:rsid w:val="45F2BEEA"/>
    <w:rsid w:val="4601DF34"/>
    <w:rsid w:val="4618CAEB"/>
    <w:rsid w:val="477FFC7C"/>
    <w:rsid w:val="47F5A5A8"/>
    <w:rsid w:val="482ED285"/>
    <w:rsid w:val="48EA3E1B"/>
    <w:rsid w:val="497E1DAB"/>
    <w:rsid w:val="4988D322"/>
    <w:rsid w:val="49CF035B"/>
    <w:rsid w:val="49F716D3"/>
    <w:rsid w:val="4A0FC189"/>
    <w:rsid w:val="4A253786"/>
    <w:rsid w:val="4AB5AFAB"/>
    <w:rsid w:val="4ADF8F7C"/>
    <w:rsid w:val="4B06C773"/>
    <w:rsid w:val="4B2A7B4A"/>
    <w:rsid w:val="4B5D8CB6"/>
    <w:rsid w:val="4CDB957E"/>
    <w:rsid w:val="4CF4F292"/>
    <w:rsid w:val="4D846A18"/>
    <w:rsid w:val="4DC21A69"/>
    <w:rsid w:val="4E03856E"/>
    <w:rsid w:val="4EA7B997"/>
    <w:rsid w:val="4EF7A10A"/>
    <w:rsid w:val="4F59DAED"/>
    <w:rsid w:val="4F7C2B44"/>
    <w:rsid w:val="50056B14"/>
    <w:rsid w:val="500B79B6"/>
    <w:rsid w:val="50A1F1CD"/>
    <w:rsid w:val="51C8943B"/>
    <w:rsid w:val="51DB4322"/>
    <w:rsid w:val="51E681CB"/>
    <w:rsid w:val="52604156"/>
    <w:rsid w:val="52C15CCE"/>
    <w:rsid w:val="52C3DEC2"/>
    <w:rsid w:val="533288C1"/>
    <w:rsid w:val="539360D9"/>
    <w:rsid w:val="53C48663"/>
    <w:rsid w:val="53D76EC8"/>
    <w:rsid w:val="53E4CBCE"/>
    <w:rsid w:val="542B75F3"/>
    <w:rsid w:val="55006FC6"/>
    <w:rsid w:val="550B7C1B"/>
    <w:rsid w:val="5556DB4C"/>
    <w:rsid w:val="5592C8D9"/>
    <w:rsid w:val="55E8731F"/>
    <w:rsid w:val="560A24B6"/>
    <w:rsid w:val="5613C8CF"/>
    <w:rsid w:val="5752A73D"/>
    <w:rsid w:val="586471C7"/>
    <w:rsid w:val="58DA1C46"/>
    <w:rsid w:val="5A9E7C36"/>
    <w:rsid w:val="5B08A644"/>
    <w:rsid w:val="5B1761DC"/>
    <w:rsid w:val="5BACC8DF"/>
    <w:rsid w:val="5BAE8BA2"/>
    <w:rsid w:val="5C5DC59D"/>
    <w:rsid w:val="5CA0AFFD"/>
    <w:rsid w:val="5CF7B902"/>
    <w:rsid w:val="5D0A43D7"/>
    <w:rsid w:val="5D61C527"/>
    <w:rsid w:val="5D71FE58"/>
    <w:rsid w:val="5DCA3242"/>
    <w:rsid w:val="5DFB05D5"/>
    <w:rsid w:val="5E11EDD3"/>
    <w:rsid w:val="5E91DE5A"/>
    <w:rsid w:val="5EA10927"/>
    <w:rsid w:val="5EC080AA"/>
    <w:rsid w:val="5EFE2E3A"/>
    <w:rsid w:val="5F1F0838"/>
    <w:rsid w:val="5F26C18B"/>
    <w:rsid w:val="5F3D6C7B"/>
    <w:rsid w:val="5FDF7191"/>
    <w:rsid w:val="5FE57C4F"/>
    <w:rsid w:val="5FFF47D0"/>
    <w:rsid w:val="6030D720"/>
    <w:rsid w:val="60B13524"/>
    <w:rsid w:val="60FA983E"/>
    <w:rsid w:val="61864435"/>
    <w:rsid w:val="61962BFC"/>
    <w:rsid w:val="61D6C12F"/>
    <w:rsid w:val="620333F6"/>
    <w:rsid w:val="62099533"/>
    <w:rsid w:val="62634A6E"/>
    <w:rsid w:val="6333F733"/>
    <w:rsid w:val="635F75EA"/>
    <w:rsid w:val="6372506A"/>
    <w:rsid w:val="6386D3F0"/>
    <w:rsid w:val="63AFB269"/>
    <w:rsid w:val="63FBE351"/>
    <w:rsid w:val="64388CB5"/>
    <w:rsid w:val="645FADAC"/>
    <w:rsid w:val="64F08045"/>
    <w:rsid w:val="653980A6"/>
    <w:rsid w:val="659C5183"/>
    <w:rsid w:val="65A1D4B4"/>
    <w:rsid w:val="65AFF839"/>
    <w:rsid w:val="662E7AEC"/>
    <w:rsid w:val="6670ADF0"/>
    <w:rsid w:val="66B7CAB1"/>
    <w:rsid w:val="6706032A"/>
    <w:rsid w:val="67314BCB"/>
    <w:rsid w:val="68A8F82E"/>
    <w:rsid w:val="699FF4CB"/>
    <w:rsid w:val="6A85CF54"/>
    <w:rsid w:val="6AECF63C"/>
    <w:rsid w:val="6AF07F84"/>
    <w:rsid w:val="6B0A2F30"/>
    <w:rsid w:val="6B0AF2D1"/>
    <w:rsid w:val="6BC031CB"/>
    <w:rsid w:val="6BE5132C"/>
    <w:rsid w:val="6C667D14"/>
    <w:rsid w:val="6CBA7E2E"/>
    <w:rsid w:val="6CD7314B"/>
    <w:rsid w:val="6D75F3A1"/>
    <w:rsid w:val="7006ED8D"/>
    <w:rsid w:val="701629EB"/>
    <w:rsid w:val="705C2F52"/>
    <w:rsid w:val="706A6C20"/>
    <w:rsid w:val="72087A31"/>
    <w:rsid w:val="727693C6"/>
    <w:rsid w:val="730F339A"/>
    <w:rsid w:val="73D0BC38"/>
    <w:rsid w:val="743B35C5"/>
    <w:rsid w:val="74AA6CC0"/>
    <w:rsid w:val="74D2CA6B"/>
    <w:rsid w:val="75196536"/>
    <w:rsid w:val="7545FB0C"/>
    <w:rsid w:val="754AA1DB"/>
    <w:rsid w:val="75B9FCAF"/>
    <w:rsid w:val="76697A00"/>
    <w:rsid w:val="7695FFC2"/>
    <w:rsid w:val="76D9CA75"/>
    <w:rsid w:val="770EC895"/>
    <w:rsid w:val="77CBA578"/>
    <w:rsid w:val="7808C39B"/>
    <w:rsid w:val="781ADE9C"/>
    <w:rsid w:val="787AF248"/>
    <w:rsid w:val="78B2C5EF"/>
    <w:rsid w:val="78C52B98"/>
    <w:rsid w:val="7910BDA0"/>
    <w:rsid w:val="79CA4E0F"/>
    <w:rsid w:val="7A6B72E7"/>
    <w:rsid w:val="7AC17FEA"/>
    <w:rsid w:val="7AF10547"/>
    <w:rsid w:val="7B13E033"/>
    <w:rsid w:val="7BC722D9"/>
    <w:rsid w:val="7BCC2EAE"/>
    <w:rsid w:val="7BEA0A16"/>
    <w:rsid w:val="7C22DC9A"/>
    <w:rsid w:val="7C6E46E2"/>
    <w:rsid w:val="7C7F9B5C"/>
    <w:rsid w:val="7CF5F8D3"/>
    <w:rsid w:val="7D976B53"/>
    <w:rsid w:val="7DB62A0A"/>
    <w:rsid w:val="7DC3A685"/>
    <w:rsid w:val="7E6C15C1"/>
    <w:rsid w:val="7F3D8A44"/>
    <w:rsid w:val="7F6BCF36"/>
    <w:rsid w:val="7FFC9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0F78"/>
  <w15:docId w15:val="{D7B1EF69-EAAB-4123-A907-BBEF0B3B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ABB"/>
  </w:style>
  <w:style w:type="paragraph" w:styleId="Header">
    <w:name w:val="header"/>
    <w:basedOn w:val="Normal"/>
    <w:link w:val="HeaderChar"/>
    <w:uiPriority w:val="99"/>
    <w:semiHidden/>
    <w:unhideWhenUsed/>
    <w:rsid w:val="00F248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48E4"/>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F248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48E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14A35BE5CA0F42910A4EFEA253D3AE" ma:contentTypeVersion="14" ma:contentTypeDescription="Loo uus dokument" ma:contentTypeScope="" ma:versionID="cebc5dae1b1636cc561efe19f7ba4e9b">
  <xsd:schema xmlns:xsd="http://www.w3.org/2001/XMLSchema" xmlns:xs="http://www.w3.org/2001/XMLSchema" xmlns:p="http://schemas.microsoft.com/office/2006/metadata/properties" xmlns:ns2="e7fb249a-b9b4-4437-8ec1-b4dea089e6b0" xmlns:ns3="194d161e-9feb-48d7-86ed-d7bb9ad5178d" targetNamespace="http://schemas.microsoft.com/office/2006/metadata/properties" ma:root="true" ma:fieldsID="9e23676597d3e086294b40275fc4ed53" ns2:_="" ns3:_="">
    <xsd:import namespace="e7fb249a-b9b4-4437-8ec1-b4dea089e6b0"/>
    <xsd:import namespace="194d161e-9feb-48d7-86ed-d7bb9ad51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249a-b9b4-4437-8ec1-b4dea089e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d36484f-8c2f-4416-860f-d7d6b59010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d161e-9feb-48d7-86ed-d7bb9ad51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c44fb-4c81-4059-9cc5-499d6564fc98}" ma:internalName="TaxCatchAll" ma:showField="CatchAllData" ma:web="194d161e-9feb-48d7-86ed-d7bb9ad51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fb249a-b9b4-4437-8ec1-b4dea089e6b0">
      <Terms xmlns="http://schemas.microsoft.com/office/infopath/2007/PartnerControls"/>
    </lcf76f155ced4ddcb4097134ff3c332f>
    <TaxCatchAll xmlns="194d161e-9feb-48d7-86ed-d7bb9ad5178d" xsi:nil="true"/>
  </documentManagement>
</p:properties>
</file>

<file path=customXml/itemProps1.xml><?xml version="1.0" encoding="utf-8"?>
<ds:datastoreItem xmlns:ds="http://schemas.openxmlformats.org/officeDocument/2006/customXml" ds:itemID="{E6AF9C3E-E607-41B4-AD62-463BE9279A8E}"/>
</file>

<file path=customXml/itemProps2.xml><?xml version="1.0" encoding="utf-8"?>
<ds:datastoreItem xmlns:ds="http://schemas.openxmlformats.org/officeDocument/2006/customXml" ds:itemID="{ACAE801F-C827-46CB-9E55-BE5850734F60}">
  <ds:schemaRefs>
    <ds:schemaRef ds:uri="http://schemas.microsoft.com/sharepoint/v3/contenttype/forms"/>
  </ds:schemaRefs>
</ds:datastoreItem>
</file>

<file path=customXml/itemProps3.xml><?xml version="1.0" encoding="utf-8"?>
<ds:datastoreItem xmlns:ds="http://schemas.openxmlformats.org/officeDocument/2006/customXml" ds:itemID="{B6C4A3EA-D69A-49DF-8BD6-D5344ED4FC24}">
  <ds:schemaRefs>
    <ds:schemaRef ds:uri="http://schemas.microsoft.com/office/2006/metadata/properties"/>
    <ds:schemaRef ds:uri="http://schemas.microsoft.com/office/infopath/2007/PartnerControls"/>
    <ds:schemaRef ds:uri="e7fb249a-b9b4-4437-8ec1-b4dea089e6b0"/>
    <ds:schemaRef ds:uri="194d161e-9feb-48d7-86ed-d7bb9ad517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1931</Words>
  <Characters>11012</Characters>
  <Application>Microsoft Office Word</Application>
  <DocSecurity>0</DocSecurity>
  <Lines>91</Lines>
  <Paragraphs>25</Paragraphs>
  <ScaleCrop>false</ScaleCrop>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 Uusleer</dc:creator>
  <cp:keywords/>
  <cp:lastModifiedBy>Leana Liivson </cp:lastModifiedBy>
  <cp:revision>107</cp:revision>
  <dcterms:created xsi:type="dcterms:W3CDTF">2025-10-28T08:08:00Z</dcterms:created>
  <dcterms:modified xsi:type="dcterms:W3CDTF">2026-01-07T09:48:00Z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0x0101000214A35BE5CA0F42910A4EFEA253D3AE</vt:lpwstr>
  </property>
  <property fmtid="{D5CDD505-2E9C-101B-9397-08002B2CF9AE}" pid="3" name="MediaServiceImageTags">
    <vt:lpwstr/>
  </property>
</Properties>
</file>